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937"/>
        <w:jc w:val="center"/>
        <w:rPr>
          <w:b/>
          <w:bCs/>
          <w:color w:val="000000"/>
          <w:sz w:val="60"/>
          <w:szCs w:val="60"/>
          <w:highlight w:val="none"/>
        </w:rPr>
      </w:pPr>
      <w:r/>
      <w:bookmarkStart w:id="0" w:name="_Toc74227630"/>
      <w:r>
        <w:rPr>
          <w:b/>
          <w:bCs/>
          <w:color w:val="000000"/>
          <w:sz w:val="60"/>
          <w:szCs w:val="60"/>
          <w:highlight w:val="none"/>
        </w:rPr>
      </w:r>
      <w:r/>
    </w:p>
    <w:p>
      <w:pPr>
        <w:pStyle w:val="937"/>
        <w:jc w:val="center"/>
        <w:rPr>
          <w:b/>
          <w:bCs/>
          <w:color w:val="000000"/>
          <w:sz w:val="60"/>
          <w:szCs w:val="60"/>
          <w:highlight w:val="none"/>
        </w:rPr>
      </w:pPr>
      <w:r>
        <w:rPr>
          <w:b/>
          <w:bCs/>
          <w:color w:val="000000"/>
          <w:sz w:val="60"/>
          <w:szCs w:val="60"/>
          <w:highlight w:val="none"/>
        </w:rPr>
      </w:r>
      <w:r/>
    </w:p>
    <w:p>
      <w:pPr>
        <w:pStyle w:val="937"/>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937"/>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7"/>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7"/>
        <w:ind w:firstLine="360"/>
        <w:jc w:val="left"/>
        <w:spacing w:line="360" w:lineRule="auto"/>
        <w:tabs>
          <w:tab w:val="left" w:pos="5609" w:leader="none"/>
        </w:tabs>
        <w:rPr>
          <w:rFonts w:hint="eastAsia" w:eastAsia="宋体"/>
          <w:bCs/>
          <w:color w:val="000000"/>
          <w:sz w:val="36"/>
          <w:szCs w:val="36"/>
          <w:highlight w:val="none"/>
          <w:lang w:val="zh-CN" w:eastAsia="zh-CN"/>
        </w:rPr>
      </w:pPr>
      <w:r>
        <w:rPr>
          <w:bCs/>
          <w:color w:val="000000"/>
          <w:sz w:val="36"/>
          <w:szCs w:val="36"/>
          <w:highlight w:val="none"/>
        </w:rPr>
        <w:t xml:space="preserve">项目名称：</w:t>
      </w:r>
      <w:r>
        <w:rPr>
          <w:rFonts w:hint="eastAsia"/>
          <w:bCs/>
          <w:color w:val="000000"/>
          <w:sz w:val="36"/>
          <w:szCs w:val="36"/>
          <w:highlight w:val="none"/>
          <w:lang w:val="zh-CN"/>
        </w:rPr>
        <w:t xml:space="preserve">经开区林地储备库建设二期项目</w:t>
      </w:r>
      <w:r>
        <w:rPr>
          <w:rFonts w:hint="eastAsia" w:eastAsia="宋体"/>
          <w:bCs/>
          <w:color w:val="000000"/>
          <w:sz w:val="36"/>
          <w:szCs w:val="36"/>
          <w:highlight w:val="none"/>
          <w:lang w:val="zh-CN" w:eastAsia="zh-CN"/>
        </w:rPr>
      </w:r>
      <w:r/>
    </w:p>
    <w:p>
      <w:pPr>
        <w:pStyle w:val="937"/>
        <w:ind w:firstLine="36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lang w:val="zh-CN"/>
        </w:rPr>
        <w:t xml:space="preserve">JSZC-320402022-CZZH-C2026-0020</w:t>
      </w:r>
      <w:r>
        <w:rPr>
          <w:bCs/>
          <w:color w:val="000000"/>
          <w:sz w:val="36"/>
          <w:szCs w:val="36"/>
          <w:highlight w:val="none"/>
        </w:rPr>
      </w:r>
      <w:r/>
    </w:p>
    <w:p>
      <w:pPr>
        <w:pStyle w:val="937"/>
        <w:ind w:firstLine="360"/>
        <w:jc w:val="left"/>
        <w:spacing w:line="360" w:lineRule="auto"/>
        <w:tabs>
          <w:tab w:val="left" w:pos="3240" w:leader="none"/>
          <w:tab w:val="left" w:pos="3420" w:leader="none"/>
        </w:tabs>
        <w:rPr>
          <w:rFonts w:hint="eastAsia"/>
          <w:bCs/>
          <w:color w:val="000000"/>
          <w:sz w:val="36"/>
          <w:szCs w:val="36"/>
          <w:highlight w:val="none"/>
          <w:lang w:val="zh-CN"/>
        </w:rPr>
      </w:pPr>
      <w:r>
        <w:rPr>
          <w:bCs/>
          <w:color w:val="000000"/>
          <w:sz w:val="36"/>
          <w:szCs w:val="36"/>
          <w:highlight w:val="none"/>
        </w:rPr>
        <w:t xml:space="preserve">采 购 人：</w:t>
      </w:r>
      <w:r>
        <w:rPr>
          <w:rFonts w:hint="eastAsia"/>
          <w:bCs/>
          <w:color w:val="000000"/>
          <w:sz w:val="36"/>
          <w:szCs w:val="36"/>
          <w:highlight w:val="none"/>
          <w:lang w:val="zh-CN"/>
        </w:rPr>
        <w:t xml:space="preserve">江苏常州天宁经济开发区管理委员会</w:t>
      </w:r>
      <w:r>
        <w:rPr>
          <w:rFonts w:hint="eastAsia"/>
          <w:bCs/>
          <w:color w:val="000000"/>
          <w:sz w:val="36"/>
          <w:szCs w:val="36"/>
          <w:highlight w:val="none"/>
          <w:lang w:val="zh-CN"/>
        </w:rPr>
      </w:r>
      <w:r/>
    </w:p>
    <w:p>
      <w:pPr>
        <w:pStyle w:val="937"/>
        <w:ind w:firstLine="36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：常州正衡招投标有限公司</w:t>
      </w:r>
      <w:r>
        <w:rPr>
          <w:bCs/>
          <w:color w:val="000000"/>
          <w:sz w:val="36"/>
          <w:szCs w:val="36"/>
          <w:highlight w:val="none"/>
        </w:rPr>
      </w:r>
      <w:r/>
    </w:p>
    <w:p>
      <w:pPr>
        <w:pStyle w:val="937"/>
        <w:jc w:val="left"/>
        <w:widowControl/>
        <w:rPr>
          <w:color w:val="000000"/>
          <w:sz w:val="24"/>
          <w:highlight w:val="none"/>
        </w:rPr>
      </w:pPr>
      <w:r/>
      <w:bookmarkEnd w:id="0"/>
      <w:r>
        <w:rPr>
          <w:color w:val="000000"/>
          <w:sz w:val="24"/>
          <w:highlight w:val="none"/>
        </w:rPr>
      </w:r>
      <w:r/>
    </w:p>
    <w:p>
      <w:pPr>
        <w:pStyle w:val="937"/>
        <w:jc w:val="left"/>
        <w:widowControl/>
        <w:rPr>
          <w:color w:val="000000"/>
          <w:sz w:val="24"/>
          <w:highlight w:val="none"/>
        </w:rPr>
      </w:pPr>
      <w:r>
        <w:rPr>
          <w:color w:val="000000"/>
          <w:sz w:val="24"/>
          <w:highlight w:val="none"/>
        </w:rPr>
      </w:r>
      <w:r/>
    </w:p>
    <w:p>
      <w:pPr>
        <w:pStyle w:val="937"/>
        <w:jc w:val="left"/>
        <w:widowControl/>
        <w:rPr>
          <w:color w:val="000000"/>
          <w:sz w:val="24"/>
          <w:highlight w:val="none"/>
        </w:rPr>
      </w:pPr>
      <w:r>
        <w:rPr>
          <w:color w:val="000000"/>
          <w:sz w:val="24"/>
          <w:highlight w:val="none"/>
        </w:rPr>
      </w:r>
      <w:r/>
    </w:p>
    <w:p>
      <w:pPr>
        <w:pStyle w:val="937"/>
        <w:ind w:firstLine="2240"/>
        <w:jc w:val="left"/>
        <w:spacing w:line="360" w:lineRule="auto"/>
        <w:rPr>
          <w:rFonts w:hint="eastAsia" w:ascii="宋体" w:hAnsi="宋体" w:eastAsia="宋体" w:cs="宋体"/>
          <w:bCs/>
          <w:sz w:val="32"/>
          <w:szCs w:val="32"/>
        </w:rPr>
      </w:pPr>
      <w:r>
        <w:rPr>
          <w:rFonts w:hint="eastAsia" w:ascii="宋体" w:hAnsi="宋体" w:eastAsia="宋体" w:cs="宋体"/>
          <w:bCs/>
          <w:sz w:val="32"/>
          <w:szCs w:val="32"/>
        </w:rPr>
        <w:t xml:space="preserve">日期：</w:t>
      </w:r>
      <w:r>
        <w:rPr>
          <w:rFonts w:hint="eastAsia" w:ascii="宋体" w:hAnsi="宋体" w:eastAsia="宋体" w:cs="宋体"/>
          <w:bCs/>
          <w:sz w:val="32"/>
          <w:szCs w:val="32"/>
        </w:rPr>
        <w:t xml:space="preserve">二零二</w:t>
      </w:r>
      <w:r>
        <w:rPr>
          <w:rFonts w:hint="eastAsia" w:ascii="宋体" w:hAnsi="宋体" w:eastAsia="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eastAsia="宋体" w:cs="宋体"/>
          <w:bCs/>
          <w:sz w:val="32"/>
          <w:szCs w:val="32"/>
          <w:lang w:val="en-US" w:eastAsia="zh-CN"/>
        </w:rPr>
        <w:t xml:space="preserve">四</w:t>
      </w:r>
      <w:r>
        <w:rPr>
          <w:rFonts w:hint="eastAsia" w:ascii="宋体" w:hAnsi="宋体" w:eastAsia="宋体" w:cs="宋体"/>
          <w:bCs/>
          <w:sz w:val="32"/>
          <w:szCs w:val="32"/>
        </w:rPr>
        <w:t xml:space="preserve">月</w:t>
      </w:r>
      <w:r>
        <w:rPr>
          <w:rFonts w:hint="eastAsia" w:ascii="宋体" w:hAnsi="宋体" w:eastAsia="宋体" w:cs="宋体"/>
          <w:bCs/>
          <w:sz w:val="32"/>
          <w:szCs w:val="32"/>
        </w:rPr>
        <w:br w:type="page" w:clear="all"/>
      </w:r>
      <w:r>
        <w:rPr>
          <w:rFonts w:hint="eastAsia" w:ascii="宋体" w:hAnsi="宋体" w:eastAsia="宋体" w:cs="宋体"/>
          <w:bCs/>
          <w:sz w:val="32"/>
          <w:szCs w:val="32"/>
        </w:rPr>
      </w:r>
      <w:r/>
    </w:p>
    <w:p>
      <w:pPr>
        <w:pStyle w:val="937"/>
        <w:jc w:val="left"/>
        <w:widowControl/>
        <w:rPr>
          <w:color w:val="000000"/>
          <w:sz w:val="24"/>
          <w:highlight w:val="none"/>
        </w:rPr>
      </w:pPr>
      <w:r>
        <w:rPr>
          <w:color w:val="000000"/>
          <w:sz w:val="24"/>
          <w:highlight w:val="none"/>
        </w:rPr>
      </w:r>
      <w:r/>
    </w:p>
    <w:p>
      <w:pPr>
        <w:pStyle w:val="937"/>
        <w:jc w:val="left"/>
        <w:widowControl/>
        <w:rPr>
          <w:color w:val="000000"/>
          <w:sz w:val="24"/>
          <w:highlight w:val="none"/>
        </w:rPr>
      </w:pPr>
      <w:r>
        <w:rPr>
          <w:color w:val="000000"/>
          <w:sz w:val="24"/>
          <w:highlight w:val="none"/>
        </w:rPr>
      </w:r>
      <w:r/>
    </w:p>
    <w:p>
      <w:pPr>
        <w:pStyle w:val="1017"/>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37"/>
        <w:jc w:val="center"/>
        <w:spacing w:line="360" w:lineRule="auto"/>
        <w:rPr>
          <w:b/>
          <w:color w:val="000000"/>
          <w:sz w:val="36"/>
          <w:szCs w:val="36"/>
          <w:highlight w:val="none"/>
        </w:rPr>
        <w:outlineLvl w:val="0"/>
      </w:pPr>
      <w:r/>
      <w:bookmarkStart w:id="1" w:name="_Toc4180"/>
      <w:r/>
      <w:bookmarkStart w:id="2"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1"/>
      <w:r/>
      <w:bookmarkEnd w:id="2"/>
      <w:r>
        <w:rPr>
          <w:b/>
          <w:color w:val="000000"/>
          <w:sz w:val="36"/>
          <w:szCs w:val="36"/>
          <w:highlight w:val="none"/>
        </w:rPr>
      </w:r>
      <w:r/>
    </w:p>
    <w:p>
      <w:pPr>
        <w:pStyle w:val="937"/>
        <w:rPr>
          <w:color w:val="000000"/>
          <w:highlight w:val="none"/>
        </w:rPr>
      </w:pPr>
      <w:r>
        <w:rPr>
          <w:color w:val="000000"/>
          <w:highlight w:val="none"/>
        </w:rPr>
      </w:r>
      <w:r/>
    </w:p>
    <w:p>
      <w:pPr>
        <w:pStyle w:val="937"/>
        <w:rPr>
          <w:color w:val="000000"/>
          <w:highlight w:val="none"/>
        </w:rPr>
      </w:pPr>
      <w:r>
        <w:rPr>
          <w:color w:val="000000"/>
          <w:highlight w:val="none"/>
        </w:rPr>
      </w:r>
      <w:r/>
    </w:p>
    <w:p>
      <w:pPr>
        <w:pStyle w:val="937"/>
        <w:rPr>
          <w:color w:val="000000"/>
          <w:highlight w:val="none"/>
        </w:rPr>
      </w:pPr>
      <w:r>
        <w:rPr>
          <w:color w:val="000000"/>
          <w:highlight w:val="none"/>
        </w:rPr>
      </w:r>
      <w:r/>
    </w:p>
    <w:p>
      <w:pPr>
        <w:pStyle w:val="937"/>
        <w:rPr>
          <w:color w:val="000000"/>
          <w:highlight w:val="none"/>
        </w:rPr>
      </w:pPr>
      <w:r>
        <w:rPr>
          <w:color w:val="000000"/>
          <w:highlight w:val="none"/>
        </w:rPr>
      </w:r>
      <w:r/>
    </w:p>
    <w:p>
      <w:pPr>
        <w:pStyle w:val="990"/>
        <w:tabs>
          <w:tab w:val="right" w:pos="9072" w:leader="dot"/>
        </w:tabs>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Times New Roman" w:hAnsi="Times New Roman"/>
          <w:color w:val="000000"/>
          <w:highlight w:val="none"/>
        </w:rPr>
        <w:fldChar w:fldCharType="begin"/>
      </w:r>
      <w:r>
        <w:rPr>
          <w:rFonts w:ascii="Times New Roman" w:hAnsi="Times New Roman"/>
          <w:highlight w:val="none"/>
        </w:rPr>
        <w:instrText xml:space="preserve"> HYPERLINK \l _Toc12539 </w:instrText>
      </w:r>
      <w:r>
        <w:rPr>
          <w:rFonts w:ascii="Times New Roman" w:hAnsi="Times New Roman"/>
          <w:highlight w:val="none"/>
        </w:rPr>
        <w:fldChar w:fldCharType="separate"/>
      </w:r>
      <w:r>
        <w:rPr>
          <w:szCs w:val="36"/>
          <w:highlight w:val="none"/>
        </w:rPr>
        <w:t xml:space="preserve">第一章   </w:t>
      </w:r>
      <w:r>
        <w:rPr>
          <w:rFonts w:hint="eastAsia" w:ascii="宋体" w:hAnsi="宋体" w:cs="宋体"/>
          <w:color w:val="000000"/>
          <w:sz w:val="24"/>
          <w:highlight w:val="none"/>
        </w:rPr>
        <w:t xml:space="preserve">竞争性磋商公告</w:t>
      </w:r>
      <w:r>
        <w:tab/>
      </w:r>
      <w:r>
        <w:fldChar w:fldCharType="begin"/>
      </w:r>
      <w:r>
        <w:instrText xml:space="preserve"> PAGEREF _Toc12539 \h </w:instrText>
      </w:r>
      <w:r>
        <w:fldChar w:fldCharType="separate"/>
      </w:r>
      <w:r>
        <w:t xml:space="preserve">1</w:t>
      </w:r>
      <w:r>
        <w:fldChar w:fldCharType="end"/>
      </w:r>
      <w:r>
        <w:rPr>
          <w:rFonts w:ascii="Times New Roman" w:hAnsi="Times New Roman"/>
          <w:color w:val="000000"/>
          <w:highlight w:val="none"/>
        </w:rPr>
        <w:fldChar w:fldCharType="end"/>
      </w:r>
      <w:r/>
    </w:p>
    <w:p>
      <w:pPr>
        <w:pStyle w:val="990"/>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_Toc5796 </w:instrText>
      </w:r>
      <w:r>
        <w:rPr>
          <w:rFonts w:ascii="Times New Roman" w:hAnsi="Times New Roman"/>
          <w:highlight w:val="none"/>
        </w:rPr>
        <w:fldChar w:fldCharType="separate"/>
      </w:r>
      <w:r>
        <w:rPr>
          <w:szCs w:val="36"/>
          <w:highlight w:val="none"/>
        </w:rPr>
        <w:t xml:space="preserve">第二章   供应商须知</w:t>
      </w:r>
      <w:r>
        <w:tab/>
      </w:r>
      <w:r>
        <w:fldChar w:fldCharType="begin"/>
      </w:r>
      <w:r>
        <w:instrText xml:space="preserve"> PAGEREF _Toc5796 \h </w:instrText>
      </w:r>
      <w:r>
        <w:fldChar w:fldCharType="separate"/>
      </w:r>
      <w:r>
        <w:t xml:space="preserve">4</w:t>
      </w:r>
      <w:r>
        <w:fldChar w:fldCharType="end"/>
      </w:r>
      <w:r>
        <w:rPr>
          <w:rFonts w:ascii="Times New Roman" w:hAnsi="Times New Roman"/>
          <w:color w:val="000000"/>
          <w:highlight w:val="none"/>
        </w:rPr>
        <w:fldChar w:fldCharType="end"/>
      </w:r>
      <w:r/>
    </w:p>
    <w:p>
      <w:pPr>
        <w:pStyle w:val="990"/>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_Toc30522 </w:instrText>
      </w:r>
      <w:r>
        <w:rPr>
          <w:rFonts w:ascii="Times New Roman" w:hAnsi="Times New Roman"/>
          <w:highlight w:val="none"/>
        </w:rPr>
        <w:fldChar w:fldCharType="separate"/>
      </w:r>
      <w:r>
        <w:rPr>
          <w:szCs w:val="36"/>
          <w:highlight w:val="none"/>
        </w:rPr>
        <w:t xml:space="preserve">第三章   评审</w:t>
      </w:r>
      <w:r>
        <w:rPr>
          <w:rFonts w:hint="eastAsia"/>
          <w:szCs w:val="36"/>
          <w:highlight w:val="none"/>
        </w:rPr>
        <w:t xml:space="preserve">程序、评审</w:t>
      </w:r>
      <w:r>
        <w:rPr>
          <w:szCs w:val="36"/>
          <w:highlight w:val="none"/>
        </w:rPr>
        <w:t xml:space="preserve">方法和评审标准</w:t>
      </w:r>
      <w:r>
        <w:tab/>
      </w:r>
      <w:r>
        <w:fldChar w:fldCharType="begin"/>
      </w:r>
      <w:r>
        <w:instrText xml:space="preserve"> PAGEREF _Toc30522 \h </w:instrText>
      </w:r>
      <w:r>
        <w:fldChar w:fldCharType="separate"/>
      </w:r>
      <w:r>
        <w:t xml:space="preserve">19</w:t>
      </w:r>
      <w:r>
        <w:fldChar w:fldCharType="end"/>
      </w:r>
      <w:r>
        <w:rPr>
          <w:rFonts w:ascii="Times New Roman" w:hAnsi="Times New Roman"/>
          <w:color w:val="000000"/>
          <w:highlight w:val="none"/>
        </w:rPr>
        <w:fldChar w:fldCharType="end"/>
      </w:r>
      <w:r/>
    </w:p>
    <w:p>
      <w:pPr>
        <w:pStyle w:val="990"/>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_Toc10100 </w:instrText>
      </w:r>
      <w:r>
        <w:rPr>
          <w:rFonts w:ascii="Times New Roman" w:hAnsi="Times New Roman"/>
          <w:highlight w:val="none"/>
        </w:rPr>
        <w:fldChar w:fldCharType="separate"/>
      </w:r>
      <w:r>
        <w:rPr>
          <w:szCs w:val="36"/>
          <w:highlight w:val="none"/>
        </w:rPr>
        <w:t xml:space="preserve">第四章   采购需求</w:t>
      </w:r>
      <w:r>
        <w:tab/>
      </w:r>
      <w:r>
        <w:fldChar w:fldCharType="begin"/>
      </w:r>
      <w:r>
        <w:instrText xml:space="preserve"> PAGEREF _Toc10100 \h </w:instrText>
      </w:r>
      <w:r>
        <w:fldChar w:fldCharType="separate"/>
      </w:r>
      <w:r>
        <w:t xml:space="preserve">28</w:t>
      </w:r>
      <w:r>
        <w:fldChar w:fldCharType="end"/>
      </w:r>
      <w:r>
        <w:rPr>
          <w:rFonts w:ascii="Times New Roman" w:hAnsi="Times New Roman"/>
          <w:color w:val="000000"/>
          <w:highlight w:val="none"/>
        </w:rPr>
        <w:fldChar w:fldCharType="end"/>
      </w:r>
      <w:r/>
    </w:p>
    <w:p>
      <w:pPr>
        <w:pStyle w:val="990"/>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_Toc19655 </w:instrText>
      </w:r>
      <w:r>
        <w:rPr>
          <w:rFonts w:ascii="Times New Roman" w:hAnsi="Times New Roman"/>
          <w:highlight w:val="none"/>
        </w:rPr>
        <w:fldChar w:fldCharType="separate"/>
      </w:r>
      <w:r>
        <w:rPr>
          <w:szCs w:val="36"/>
          <w:highlight w:val="none"/>
        </w:rPr>
        <w:t xml:space="preserve">第五章   合同草案条款</w:t>
      </w:r>
      <w:r>
        <w:tab/>
      </w:r>
      <w:r>
        <w:fldChar w:fldCharType="begin"/>
      </w:r>
      <w:r>
        <w:instrText xml:space="preserve"> PAGEREF _Toc19655 \h </w:instrText>
      </w:r>
      <w:r>
        <w:fldChar w:fldCharType="separate"/>
      </w:r>
      <w:r>
        <w:t xml:space="preserve">37</w:t>
      </w:r>
      <w:r>
        <w:fldChar w:fldCharType="end"/>
      </w:r>
      <w:r>
        <w:rPr>
          <w:rFonts w:ascii="Times New Roman" w:hAnsi="Times New Roman"/>
          <w:color w:val="000000"/>
          <w:highlight w:val="none"/>
        </w:rPr>
        <w:fldChar w:fldCharType="end"/>
      </w:r>
      <w:r/>
    </w:p>
    <w:p>
      <w:pPr>
        <w:pStyle w:val="990"/>
        <w:tabs>
          <w:tab w:val="right" w:pos="9072" w:leader="dot"/>
        </w:tabs>
      </w:pPr>
      <w:r>
        <w:rPr>
          <w:rFonts w:ascii="Times New Roman" w:hAnsi="Times New Roman"/>
          <w:color w:val="000000"/>
          <w:highlight w:val="none"/>
        </w:rPr>
        <w:fldChar w:fldCharType="begin"/>
      </w:r>
      <w:r>
        <w:rPr>
          <w:rFonts w:ascii="Times New Roman" w:hAnsi="Times New Roman"/>
          <w:highlight w:val="none"/>
        </w:rPr>
        <w:instrText xml:space="preserve"> HYPERLINK \l _Toc30458 </w:instrText>
      </w:r>
      <w:r>
        <w:rPr>
          <w:rFonts w:ascii="Times New Roman" w:hAnsi="Times New Roman"/>
          <w:highlight w:val="none"/>
        </w:rPr>
        <w:fldChar w:fldCharType="separate"/>
      </w:r>
      <w:r>
        <w:rPr>
          <w:szCs w:val="36"/>
          <w:highlight w:val="none"/>
        </w:rPr>
        <w:t xml:space="preserve">第六章   响应文件格式</w:t>
      </w:r>
      <w:r>
        <w:tab/>
      </w:r>
      <w:r>
        <w:fldChar w:fldCharType="begin"/>
      </w:r>
      <w:r>
        <w:instrText xml:space="preserve"> PAGEREF _Toc30458 \h </w:instrText>
      </w:r>
      <w:r>
        <w:fldChar w:fldCharType="separate"/>
      </w:r>
      <w:r>
        <w:t xml:space="preserve">44</w:t>
      </w:r>
      <w:r>
        <w:fldChar w:fldCharType="end"/>
      </w:r>
      <w:r>
        <w:rPr>
          <w:rFonts w:ascii="Times New Roman" w:hAnsi="Times New Roman"/>
          <w:color w:val="000000"/>
          <w:highlight w:val="none"/>
        </w:rPr>
        <w:fldChar w:fldCharType="end"/>
      </w:r>
      <w:r/>
    </w:p>
    <w:p>
      <w:pPr>
        <w:pStyle w:val="990"/>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highlight w:val="none"/>
        </w:rPr>
        <w:fldChar w:fldCharType="end"/>
      </w:r>
      <w:r>
        <w:rPr>
          <w:rFonts w:ascii="Times New Roman" w:hAnsi="Times New Roman"/>
          <w:b w:val="0"/>
          <w:color w:val="000000"/>
          <w:highlight w:val="none"/>
        </w:rPr>
      </w:r>
      <w:r/>
    </w:p>
    <w:p>
      <w:pPr>
        <w:pStyle w:val="990"/>
        <w:spacing w:line="360" w:lineRule="auto"/>
        <w:tabs>
          <w:tab w:val="left" w:pos="1050" w:leader="none"/>
          <w:tab w:val="right" w:pos="8937" w:leader="dot"/>
        </w:tabs>
        <w:rPr>
          <w:b w:val="0"/>
          <w:color w:val="000000"/>
          <w:sz w:val="36"/>
          <w:szCs w:val="36"/>
          <w:highlight w:val="none"/>
        </w:rPr>
      </w:pPr>
      <w:r>
        <w:rPr>
          <w:b w:val="0"/>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br w:type="page" w:clear="all"/>
      </w:r>
      <w:bookmarkStart w:id="3" w:name="_Toc12539"/>
      <w:r>
        <w:rPr>
          <w:b/>
          <w:color w:val="000000"/>
          <w:sz w:val="36"/>
          <w:szCs w:val="36"/>
          <w:highlight w:val="none"/>
        </w:rPr>
        <w:t xml:space="preserve">第一章  </w:t>
      </w:r>
      <w:r>
        <w:rPr>
          <w:rFonts w:ascii="Times New Roman" w:hAnsi="Times New Roman" w:eastAsia="宋体" w:cs="Times New Roman"/>
          <w:b/>
          <w:color w:val="000000"/>
          <w:sz w:val="36"/>
          <w:szCs w:val="36"/>
          <w:highlight w:val="none"/>
        </w:rPr>
        <w:t xml:space="preserve"> </w:t>
      </w:r>
      <w:bookmarkEnd w:id="3"/>
      <w:r/>
      <w:bookmarkStart w:id="4" w:name="_Toc28359002"/>
      <w:r/>
      <w:bookmarkStart w:id="5" w:name="_Toc35393621"/>
      <w:r/>
      <w:bookmarkStart w:id="6" w:name="_Toc28359079"/>
      <w:r/>
      <w:bookmarkStart w:id="7" w:name="_Hlk24379207"/>
      <w:r/>
      <w:bookmarkStart w:id="8" w:name="_Toc35393790"/>
      <w:r>
        <w:rPr>
          <w:rFonts w:hint="eastAsia" w:ascii="Times New Roman" w:hAnsi="Times New Roman" w:eastAsia="宋体" w:cs="Times New Roman"/>
          <w:b/>
          <w:color w:val="000000"/>
          <w:sz w:val="36"/>
          <w:szCs w:val="36"/>
          <w:highlight w:val="none"/>
        </w:rPr>
        <w:t xml:space="preserve">竞争性磋商公告</w:t>
      </w:r>
      <w:r>
        <w:rPr>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2"/>
      </w:tblGrid>
      <w:tr>
        <w:trPr/>
        <w:tc>
          <w:tcPr>
            <w:tcW w:w="8642" w:type="dxa"/>
            <w:vAlign w:val="top"/>
            <w:textDirection w:val="lrTb"/>
            <w:noWrap w:val="false"/>
          </w:tcPr>
          <w:p>
            <w:pPr>
              <w:pStyle w:val="937"/>
              <w:spacing w:line="360" w:lineRule="auto"/>
              <w:rPr>
                <w:rFonts w:hint="eastAsia" w:ascii="宋体" w:hAnsi="宋体" w:eastAsia="宋体" w:cs="宋体"/>
                <w:b/>
                <w:bCs/>
                <w:color w:val="000000"/>
                <w:sz w:val="24"/>
                <w:szCs w:val="24"/>
                <w:highlight w:val="none"/>
              </w:rPr>
            </w:pPr>
            <w:r/>
            <w:bookmarkEnd w:id="4"/>
            <w:r/>
            <w:bookmarkEnd w:id="5"/>
            <w:r/>
            <w:bookmarkEnd w:id="6"/>
            <w:r/>
            <w:bookmarkEnd w:id="7"/>
            <w:r/>
            <w:bookmarkEnd w:id="8"/>
            <w:r>
              <w:rPr>
                <w:rFonts w:hint="eastAsia" w:ascii="宋体" w:hAnsi="宋体" w:eastAsia="宋体" w:cs="宋体"/>
                <w:b/>
                <w:bCs/>
                <w:color w:val="000000"/>
                <w:sz w:val="24"/>
                <w:szCs w:val="24"/>
                <w:highlight w:val="none"/>
              </w:rPr>
              <w:t xml:space="preserve">项目概况</w:t>
            </w:r>
            <w:r>
              <w:rPr>
                <w:rFonts w:hint="eastAsia" w:ascii="宋体" w:hAnsi="宋体" w:eastAsia="宋体" w:cs="宋体"/>
                <w:b/>
                <w:bCs/>
                <w:color w:val="000000"/>
                <w:sz w:val="24"/>
                <w:szCs w:val="24"/>
                <w:highlight w:val="none"/>
              </w:rPr>
            </w:r>
            <w:r/>
          </w:p>
          <w:p>
            <w:pPr>
              <w:pStyle w:val="937"/>
              <w:ind w:firstLine="43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u w:val="single"/>
                <w:lang w:val="zh-CN"/>
              </w:rPr>
              <w:t xml:space="preserve">经开区林地储备库建设二期项目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b/>
                <w:bCs/>
                <w:color w:val="000000"/>
                <w:sz w:val="24"/>
                <w:szCs w:val="24"/>
                <w:highlight w:val="none"/>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bCs/>
                <w:color w:val="000000"/>
                <w:spacing w:val="2"/>
                <w:sz w:val="24"/>
                <w:szCs w:val="24"/>
                <w:highlight w:val="none"/>
              </w:rPr>
              <w:t xml:space="preserve">202</w:t>
            </w:r>
            <w:r>
              <w:rPr>
                <w:rFonts w:hint="eastAsia" w:ascii="宋体" w:hAnsi="宋体" w:eastAsia="宋体" w:cs="宋体"/>
                <w:bCs/>
                <w:color w:val="000000"/>
                <w:spacing w:val="2"/>
                <w:sz w:val="24"/>
                <w:szCs w:val="24"/>
                <w:highlight w:val="none"/>
                <w:lang w:val="en-US" w:eastAsia="zh-CN"/>
              </w:rPr>
              <w:t xml:space="preserve">6</w:t>
            </w:r>
            <w:r>
              <w:rPr>
                <w:rFonts w:hint="eastAsia" w:ascii="宋体" w:hAnsi="宋体" w:eastAsia="宋体" w:cs="宋体"/>
                <w:bCs/>
                <w:color w:val="000000"/>
                <w:spacing w:val="2"/>
                <w:sz w:val="24"/>
                <w:szCs w:val="24"/>
                <w:highlight w:val="none"/>
              </w:rPr>
              <w:t xml:space="preserve">年</w:t>
            </w:r>
            <w:r>
              <w:rPr>
                <w:rFonts w:hint="eastAsia" w:ascii="宋体" w:hAnsi="宋体" w:eastAsia="宋体" w:cs="宋体"/>
                <w:bCs/>
                <w:color w:val="000000"/>
                <w:spacing w:val="2"/>
                <w:sz w:val="24"/>
                <w:szCs w:val="24"/>
                <w:highlight w:val="none"/>
                <w:lang w:val="en-US" w:eastAsia="zh-CN"/>
              </w:rPr>
              <w:t xml:space="preserve">4</w:t>
            </w:r>
            <w:r>
              <w:rPr>
                <w:rFonts w:hint="eastAsia" w:ascii="宋体" w:hAnsi="宋体" w:eastAsia="宋体" w:cs="宋体"/>
                <w:bCs/>
                <w:color w:val="000000"/>
                <w:spacing w:val="2"/>
                <w:sz w:val="24"/>
                <w:szCs w:val="24"/>
                <w:highlight w:val="none"/>
              </w:rPr>
              <w:t xml:space="preserve">月</w:t>
            </w:r>
            <w:r>
              <w:rPr>
                <w:rFonts w:hint="eastAsia" w:ascii="宋体" w:hAnsi="宋体" w:eastAsia="宋体" w:cs="宋体"/>
                <w:bCs/>
                <w:color w:val="000000"/>
                <w:spacing w:val="2"/>
                <w:sz w:val="24"/>
                <w:szCs w:val="24"/>
                <w:highlight w:val="none"/>
                <w:lang w:val="en-US" w:eastAsia="zh-CN"/>
              </w:rPr>
              <w:t xml:space="preserve">15</w:t>
            </w:r>
            <w:r>
              <w:rPr>
                <w:rFonts w:hint="eastAsia" w:ascii="宋体" w:hAnsi="宋体" w:eastAsia="宋体" w:cs="宋体"/>
                <w:bCs/>
                <w:color w:val="000000"/>
                <w:spacing w:val="2"/>
                <w:sz w:val="24"/>
                <w:szCs w:val="24"/>
                <w:highlight w:val="none"/>
              </w:rPr>
              <w:t xml:space="preserve">日</w:t>
            </w:r>
            <w:r>
              <w:rPr>
                <w:rFonts w:hint="eastAsia" w:ascii="宋体" w:hAnsi="宋体" w:eastAsia="宋体" w:cs="宋体"/>
                <w:bCs/>
                <w:color w:val="000000"/>
                <w:spacing w:val="2"/>
                <w:sz w:val="24"/>
                <w:szCs w:val="24"/>
                <w:highlight w:val="none"/>
                <w:lang w:val="en-US" w:eastAsia="zh-CN"/>
              </w:rPr>
              <w:t xml:space="preserve">14</w:t>
            </w:r>
            <w:r>
              <w:rPr>
                <w:rFonts w:hint="eastAsia" w:ascii="宋体" w:hAnsi="宋体" w:eastAsia="宋体" w:cs="宋体"/>
                <w:bCs/>
                <w:color w:val="000000"/>
                <w:spacing w:val="2"/>
                <w:sz w:val="24"/>
                <w:szCs w:val="24"/>
                <w:highlight w:val="none"/>
              </w:rPr>
              <w:t xml:space="preserve">点</w:t>
            </w:r>
            <w:r>
              <w:rPr>
                <w:rFonts w:hint="eastAsia" w:ascii="宋体" w:hAnsi="宋体" w:eastAsia="宋体" w:cs="宋体"/>
                <w:bCs/>
                <w:color w:val="000000"/>
                <w:spacing w:val="2"/>
                <w:sz w:val="24"/>
                <w:szCs w:val="24"/>
                <w:highlight w:val="none"/>
                <w:lang w:val="en-US" w:eastAsia="zh-CN"/>
              </w:rPr>
              <w:t xml:space="preserve">00</w:t>
            </w:r>
            <w:r>
              <w:rPr>
                <w:rFonts w:hint="eastAsia" w:ascii="宋体" w:hAnsi="宋体" w:eastAsia="宋体" w:cs="宋体"/>
                <w:bCs/>
                <w:color w:val="000000"/>
                <w:spacing w:val="2"/>
                <w:sz w:val="24"/>
                <w:szCs w:val="24"/>
                <w:highlight w:val="none"/>
              </w:rPr>
              <w:t xml:space="preserve">分</w:t>
            </w:r>
            <w:r>
              <w:rPr>
                <w:rFonts w:hint="eastAsia" w:ascii="宋体" w:hAnsi="宋体" w:eastAsia="宋体" w:cs="宋体"/>
                <w:color w:val="000000"/>
                <w:sz w:val="24"/>
                <w:szCs w:val="24"/>
                <w:highlight w:val="none"/>
              </w:rPr>
              <w:t xml:space="preserve">（北京时间）前提交响应文件。</w:t>
            </w:r>
            <w:r>
              <w:rPr>
                <w:rFonts w:hint="eastAsia" w:ascii="宋体" w:hAnsi="宋体" w:eastAsia="宋体" w:cs="宋体"/>
                <w:color w:val="000000"/>
                <w:sz w:val="24"/>
                <w:szCs w:val="24"/>
                <w:highlight w:val="none"/>
              </w:rPr>
            </w:r>
            <w:r/>
          </w:p>
        </w:tc>
      </w:tr>
    </w:tbl>
    <w:p>
      <w:pPr>
        <w:pStyle w:val="937"/>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rPr>
          <w:rFonts w:hint="eastAsia" w:ascii="宋体" w:hAnsi="宋体" w:eastAsia="宋体" w:cs="宋体"/>
          <w:b/>
          <w:bCs/>
          <w:color w:val="000000"/>
          <w:sz w:val="24"/>
          <w:szCs w:val="24"/>
          <w:highlight w:val="none"/>
        </w:rPr>
      </w:r>
      <w:r/>
    </w:p>
    <w:p>
      <w:pPr>
        <w:pStyle w:val="937"/>
        <w:ind w:firstLine="482"/>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1.项目编号</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JSZC-320402022-CZZH-C2026-0020</w:t>
      </w:r>
      <w:r>
        <w:rPr>
          <w:rFonts w:hint="eastAsia" w:ascii="宋体" w:hAnsi="宋体" w:eastAsia="宋体" w:cs="宋体"/>
          <w:color w:val="000000"/>
          <w:sz w:val="24"/>
          <w:szCs w:val="24"/>
          <w:highlight w:val="none"/>
          <w:lang w:eastAsia="zh-CN"/>
        </w:rPr>
      </w:r>
      <w:r/>
    </w:p>
    <w:p>
      <w:pPr>
        <w:pStyle w:val="937"/>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2.项目名称：</w:t>
      </w:r>
      <w:r>
        <w:rPr>
          <w:rFonts w:hint="eastAsia" w:ascii="宋体" w:hAnsi="宋体" w:eastAsia="宋体" w:cs="宋体"/>
          <w:color w:val="000000"/>
          <w:sz w:val="24"/>
          <w:szCs w:val="24"/>
          <w:highlight w:val="none"/>
          <w:lang w:val="zh-CN"/>
        </w:rPr>
        <w:t xml:space="preserve">经开区林地储备库建设二期项目</w:t>
      </w:r>
      <w:r>
        <w:rPr>
          <w:rFonts w:hint="eastAsia" w:ascii="宋体" w:hAnsi="宋体" w:eastAsia="宋体" w:cs="宋体"/>
          <w:color w:val="000000"/>
          <w:sz w:val="24"/>
          <w:szCs w:val="24"/>
          <w:highlight w:val="none"/>
        </w:rPr>
      </w:r>
      <w:r/>
    </w:p>
    <w:p>
      <w:pPr>
        <w:pStyle w:val="937"/>
        <w:ind w:firstLine="482"/>
        <w:keepLines w:val="0"/>
        <w:keepNext w:val="0"/>
        <w:pageBreakBefore w:val="0"/>
        <w:spacing w:line="360" w:lineRule="auto"/>
        <w:rPr>
          <w:rFonts w:ascii="宋体" w:hAnsi="宋体" w:eastAsia="宋体" w:cs="宋体"/>
          <w:b/>
          <w:color w:val="000000"/>
          <w:spacing w:val="2"/>
          <w:sz w:val="24"/>
          <w:szCs w:val="24"/>
          <w:highlight w:val="none"/>
          <w:lang w:val="en-US" w:eastAsia="zh-CN"/>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pacing w:val="2"/>
          <w:sz w:val="24"/>
          <w:szCs w:val="24"/>
          <w:highlight w:val="none"/>
        </w:rPr>
        <w:t xml:space="preserve">预算金额</w:t>
      </w:r>
      <w:r>
        <w:rPr>
          <w:rFonts w:hint="eastAsia" w:ascii="宋体" w:hAnsi="宋体" w:eastAsia="宋体" w:cs="宋体"/>
          <w:b/>
          <w:color w:val="000000"/>
          <w:spacing w:val="2"/>
          <w:sz w:val="24"/>
          <w:szCs w:val="24"/>
          <w:highlight w:val="none"/>
          <w:lang w:eastAsia="zh-CN"/>
        </w:rPr>
        <w:t xml:space="preserve">：</w:t>
      </w:r>
      <w:r>
        <w:rPr>
          <w:rFonts w:hint="eastAsia" w:ascii="宋体" w:hAnsi="宋体" w:eastAsia="宋体" w:cs="宋体"/>
          <w:b w:val="0"/>
          <w:bCs/>
          <w:color w:val="000000"/>
          <w:spacing w:val="2"/>
          <w:sz w:val="24"/>
          <w:szCs w:val="24"/>
          <w:highlight w:val="none"/>
          <w:lang w:val="en-US" w:eastAsia="zh-CN"/>
        </w:rPr>
        <w:t xml:space="preserve">2450000元</w:t>
      </w:r>
      <w:r>
        <w:rPr>
          <w:rFonts w:ascii="宋体" w:hAnsi="宋体" w:eastAsia="宋体" w:cs="宋体"/>
          <w:b/>
          <w:color w:val="000000"/>
          <w:spacing w:val="2"/>
          <w:sz w:val="24"/>
          <w:szCs w:val="24"/>
          <w:highlight w:val="none"/>
          <w:lang w:val="en-US" w:eastAsia="zh-CN"/>
        </w:rPr>
      </w:r>
      <w:r/>
    </w:p>
    <w:p>
      <w:pPr>
        <w:pStyle w:val="937"/>
        <w:ind w:firstLine="490"/>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
          <w:color w:val="000000"/>
          <w:spacing w:val="2"/>
          <w:sz w:val="24"/>
          <w:szCs w:val="24"/>
          <w:highlight w:val="none"/>
          <w:lang w:val="en-US" w:eastAsia="zh-CN"/>
        </w:rPr>
        <w:t xml:space="preserve">4.</w:t>
      </w:r>
      <w:r>
        <w:rPr>
          <w:rFonts w:hint="eastAsia" w:ascii="宋体" w:hAnsi="宋体" w:eastAsia="宋体" w:cs="宋体"/>
          <w:b/>
          <w:color w:val="000000"/>
          <w:spacing w:val="2"/>
          <w:sz w:val="24"/>
          <w:szCs w:val="24"/>
          <w:highlight w:val="none"/>
        </w:rPr>
        <w:t xml:space="preserve">最高限价：</w:t>
      </w:r>
      <w:r>
        <w:rPr>
          <w:rFonts w:hint="eastAsia" w:ascii="宋体" w:hAnsi="宋体" w:eastAsia="宋体" w:cs="宋体"/>
          <w:b w:val="0"/>
          <w:bCs/>
          <w:color w:val="000000"/>
          <w:spacing w:val="2"/>
          <w:sz w:val="24"/>
          <w:szCs w:val="24"/>
          <w:highlight w:val="none"/>
          <w:lang w:val="en-US" w:eastAsia="zh-CN"/>
        </w:rPr>
        <w:t xml:space="preserve">2431456.78元</w:t>
      </w:r>
      <w:r>
        <w:rPr>
          <w:rFonts w:ascii="宋体" w:hAnsi="宋体" w:eastAsia="宋体" w:cs="宋体"/>
          <w:color w:val="000000"/>
          <w:sz w:val="24"/>
          <w:szCs w:val="24"/>
          <w:highlight w:val="none"/>
          <w:lang w:val="en-US" w:eastAsia="zh-CN"/>
        </w:rPr>
      </w:r>
      <w:r/>
    </w:p>
    <w:p>
      <w:pPr>
        <w:pStyle w:val="1035"/>
        <w:numPr>
          <w:ilvl w:val="0"/>
          <w:numId w:val="0"/>
        </w:numPr>
        <w:contextualSpacing/>
        <w:ind w:firstLine="482"/>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rPr>
        <w:t xml:space="preserve">采购需求：</w:t>
      </w:r>
      <w:r>
        <w:rPr>
          <w:rFonts w:hint="eastAsia" w:ascii="宋体" w:hAnsi="宋体" w:eastAsia="宋体" w:cs="宋体"/>
          <w:color w:val="000000"/>
          <w:sz w:val="24"/>
          <w:szCs w:val="24"/>
          <w:highlight w:val="none"/>
          <w:lang w:val="zh-CN"/>
        </w:rPr>
        <w:t xml:space="preserve">经开区林地储备库建设二期项目，</w:t>
      </w:r>
      <w:r>
        <w:rPr>
          <w:rFonts w:hint="eastAsia" w:ascii="宋体" w:hAnsi="宋体" w:eastAsia="宋体" w:cs="宋体"/>
          <w:color w:val="000000"/>
          <w:sz w:val="24"/>
          <w:szCs w:val="24"/>
          <w:highlight w:val="none"/>
          <w:lang w:val="en-US" w:eastAsia="zh-CN" w:bidi="ar-SA"/>
        </w:rPr>
        <w:t xml:space="preserve">详见采购需求。</w:t>
      </w:r>
      <w:r>
        <w:rPr>
          <w:rFonts w:hint="eastAsia" w:ascii="宋体" w:hAnsi="宋体" w:eastAsia="宋体" w:cs="宋体"/>
          <w:color w:val="000000"/>
          <w:sz w:val="24"/>
          <w:szCs w:val="24"/>
          <w:highlight w:val="none"/>
          <w:lang w:val="en-US"/>
        </w:rPr>
      </w:r>
      <w:r/>
    </w:p>
    <w:p>
      <w:pPr>
        <w:pStyle w:val="937"/>
        <w:ind w:firstLine="482"/>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pacing w:val="2"/>
          <w:sz w:val="24"/>
          <w:szCs w:val="24"/>
          <w:highlight w:val="none"/>
          <w:lang w:val="zh-CN"/>
        </w:rPr>
        <w:t xml:space="preserve">合同履行期限：</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30</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hint="eastAsia" w:ascii="宋体" w:hAnsi="宋体" w:eastAsia="宋体" w:cs="宋体"/>
          <w:color w:val="000000"/>
          <w:sz w:val="24"/>
          <w:szCs w:val="24"/>
          <w:highlight w:val="none"/>
          <w:lang w:val="zh-CN"/>
        </w:rPr>
      </w:r>
      <w:r/>
    </w:p>
    <w:p>
      <w:pPr>
        <w:pStyle w:val="937"/>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1.满足《中华人民共和国政府采购法》第二十二条规定以及下列情形：</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2.落实政府采购政策需满足的资格要求：</w:t>
      </w:r>
      <w:r>
        <w:rPr>
          <w:rFonts w:hint="eastAsia" w:ascii="宋体" w:hAnsi="宋体" w:eastAsia="宋体" w:cs="宋体"/>
          <w:color w:val="000000"/>
          <w:sz w:val="24"/>
          <w:szCs w:val="24"/>
          <w:highlight w:val="none"/>
          <w:lang w:val="zh-CN"/>
        </w:rPr>
      </w:r>
      <w:r/>
    </w:p>
    <w:p>
      <w:pPr>
        <w:pStyle w:val="937"/>
        <w:ind w:firstLine="482"/>
        <w:keepLines w:val="0"/>
        <w:keepNext w:val="0"/>
        <w:pageBreakBefore w:val="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color w:val="000000"/>
          <w:sz w:val="24"/>
          <w:szCs w:val="24"/>
          <w:highlight w:val="none"/>
          <w:lang w:val="zh-CN"/>
        </w:rPr>
        <w:t xml:space="preserve">2.1 中小企业政策：本项目专门面向中小企业采购。即：提供的工程</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服务全部由符合政策要求的中小企业承建</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zh-CN"/>
        </w:rPr>
        <w:t xml:space="preserve">承接。</w:t>
      </w:r>
      <w:r>
        <w:rPr>
          <w:rFonts w:hint="eastAsia" w:ascii="宋体" w:hAnsi="宋体" w:eastAsia="宋体" w:cs="宋体"/>
          <w:b/>
          <w:bCs/>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2.2 其它落实政府采购政策的资格要求（如有）：无</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3.本项目的特定资格要求：</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3.1本项目是否接受分支机构参与投标：否</w:t>
      </w:r>
      <w:r>
        <w:rPr>
          <w:rFonts w:hint="eastAsia" w:ascii="宋体" w:hAnsi="宋体" w:eastAsia="宋体" w:cs="宋体"/>
          <w:color w:val="000000"/>
          <w:sz w:val="24"/>
          <w:szCs w:val="24"/>
          <w:highlight w:val="none"/>
        </w:rPr>
        <w:t xml:space="preserve">（仅当项目涉及银行、保险、石油石化、电力、电信等行业有特殊情况的，可以接受分支机构参与）</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3.2本项目是否属于政府购买服务：否</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lang w:val="zh-CN"/>
        </w:rPr>
        <w:t xml:space="preserve">本项目是否接受联合体投标：不接受</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ascii="宋体" w:hAnsi="宋体" w:eastAsia="宋体" w:cs="宋体"/>
          <w:color w:val="000000"/>
          <w:sz w:val="24"/>
          <w:szCs w:val="24"/>
          <w:highlight w:val="none"/>
          <w:lang w:val="en-US" w:eastAsia="zh-CN"/>
        </w:rPr>
      </w:pPr>
      <w:r/>
      <w:bookmarkStart w:id="9" w:name="XMZGXJ_1"/>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val="zh-CN"/>
        </w:rPr>
        <w:t xml:space="preserve">本项目是否接受进口产品投标：不接受</w:t>
      </w:r>
      <w:bookmarkEnd w:id="9"/>
      <w:r>
        <w:rPr>
          <w:rFonts w:ascii="宋体" w:hAnsi="宋体" w:eastAsia="宋体" w:cs="宋体"/>
          <w:color w:val="000000"/>
          <w:sz w:val="24"/>
          <w:szCs w:val="24"/>
          <w:highlight w:val="none"/>
          <w:lang w:val="en-US" w:eastAsia="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其他特定资格要求：</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3.5.1供应商应具备市政公用工程施工总承包叁级（含）以上资质，并具有有效的安全生产许可证；</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3.5.2项目负责人应具有市政公用工程二级（含）以上注册建造师；</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3.5.3项目负责人无在建工程（磋商响应文件中提供无在建工程承诺书并加盖供应商公章，格式自拟）；</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3.5.4项目负责人具有有效的建设行政主管部门核发的安全生产考核合格证（B证）；</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rPr>
        <w:t xml:space="preserve">5.5项目负责人具有社保机构出具的供应商为项目负责人缴纳社会基本养老保险的近三个月任意一个月缴纳凭证。</w:t>
      </w:r>
      <w:r>
        <w:rPr>
          <w:rFonts w:hint="eastAsia" w:ascii="宋体" w:hAnsi="宋体" w:eastAsia="宋体" w:cs="宋体"/>
          <w:color w:val="000000"/>
          <w:sz w:val="24"/>
          <w:szCs w:val="24"/>
          <w:highlight w:val="none"/>
          <w:lang w:val="zh-CN"/>
        </w:rPr>
      </w:r>
      <w:r/>
    </w:p>
    <w:p>
      <w:pPr>
        <w:pStyle w:val="937"/>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三、获取采购文件</w:t>
      </w:r>
      <w:r>
        <w:rPr>
          <w:rFonts w:hint="eastAsia" w:ascii="宋体" w:hAnsi="宋体" w:eastAsia="宋体" w:cs="宋体"/>
          <w:b/>
          <w:bCs/>
          <w:color w:val="000000"/>
          <w:sz w:val="24"/>
          <w:szCs w:val="24"/>
          <w:highlight w:val="none"/>
        </w:rPr>
      </w:r>
      <w:r/>
    </w:p>
    <w:p>
      <w:pPr>
        <w:pStyle w:val="937"/>
        <w:ind w:firstLine="480"/>
        <w:keepLines w:val="0"/>
        <w:keepNext w:val="0"/>
        <w:pageBreakBefore w:val="0"/>
        <w:spacing w:line="360" w:lineRule="auto"/>
        <w:rPr>
          <w:rFonts w:hint="eastAsia" w:ascii="宋体" w:hAnsi="宋体" w:eastAsia="宋体" w:cs="宋体"/>
          <w:sz w:val="24"/>
          <w:szCs w:val="24"/>
          <w:lang w:val="zh-CN" w:eastAsia="zh-CN"/>
        </w:rPr>
      </w:pPr>
      <w:r>
        <w:rPr>
          <w:rFonts w:hint="eastAsia" w:ascii="宋体" w:hAnsi="宋体" w:eastAsia="宋体" w:cs="宋体"/>
          <w:color w:val="000000"/>
          <w:sz w:val="24"/>
          <w:szCs w:val="24"/>
          <w:highlight w:val="none"/>
          <w:lang w:val="zh-CN"/>
        </w:rPr>
        <w:t xml:space="preserve">1.时间：</w:t>
      </w:r>
      <w:r>
        <w:rPr>
          <w:rFonts w:hint="eastAsia" w:ascii="宋体" w:hAnsi="宋体" w:eastAsia="宋体" w:cs="宋体"/>
          <w:sz w:val="24"/>
          <w:szCs w:val="24"/>
          <w:lang w:val="en-US" w:eastAsia="zh-CN"/>
        </w:rPr>
        <w:t xml:space="preserve">自磋商文件公告发布之日起5个工作日</w:t>
      </w:r>
      <w:r>
        <w:rPr>
          <w:rFonts w:hint="eastAsia" w:ascii="宋体" w:hAnsi="宋体" w:eastAsia="宋体" w:cs="宋体"/>
          <w:sz w:val="24"/>
          <w:szCs w:val="24"/>
          <w:lang w:val="zh-CN" w:eastAsia="zh-CN"/>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r>
      <w:r/>
    </w:p>
    <w:p>
      <w:pPr>
        <w:pStyle w:val="937"/>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3.方式：供应商持CA数字认证证书登录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（http://jszfcg.jsczt.cn/jszc/login）获取电子版磋商文件。</w:t>
      </w:r>
      <w:r>
        <w:rPr>
          <w:rFonts w:hint="eastAsia" w:ascii="宋体" w:hAnsi="宋体" w:eastAsia="宋体" w:cs="宋体"/>
          <w:sz w:val="24"/>
          <w:szCs w:val="24"/>
        </w:rPr>
      </w:r>
      <w:r/>
    </w:p>
    <w:p>
      <w:pPr>
        <w:pStyle w:val="937"/>
        <w:ind w:firstLine="48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color w:val="000000"/>
          <w:sz w:val="24"/>
          <w:szCs w:val="24"/>
          <w:highlight w:val="none"/>
          <w:lang w:val="zh-CN"/>
        </w:rPr>
        <w:t xml:space="preserve">4.售价：0元。</w:t>
      </w:r>
      <w:r>
        <w:rPr>
          <w:rFonts w:hint="eastAsia" w:ascii="宋体" w:hAnsi="宋体" w:eastAsia="宋体" w:cs="宋体"/>
          <w:b/>
          <w:color w:val="000000"/>
          <w:spacing w:val="2"/>
          <w:sz w:val="24"/>
          <w:szCs w:val="24"/>
          <w:highlight w:val="none"/>
        </w:rPr>
      </w:r>
      <w:r/>
    </w:p>
    <w:p>
      <w:pPr>
        <w:pStyle w:val="937"/>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四、响应文件提交</w:t>
      </w:r>
      <w:r>
        <w:rPr>
          <w:rFonts w:hint="eastAsia" w:ascii="宋体" w:hAnsi="宋体" w:eastAsia="宋体" w:cs="宋体"/>
          <w:b/>
          <w:bCs/>
          <w:sz w:val="24"/>
          <w:szCs w:val="24"/>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截止时间：</w:t>
      </w:r>
      <w:bookmarkStart w:id="10" w:name="XMTBJSR_1"/>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14:00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供应商端，通过系统在线提交电子响应文件</w:t>
      </w:r>
      <w:r>
        <w:rPr>
          <w:rFonts w:hint="eastAsia" w:ascii="宋体" w:hAnsi="宋体" w:eastAsia="宋体" w:cs="宋体"/>
          <w:sz w:val="24"/>
          <w:szCs w:val="24"/>
        </w:rPr>
      </w:r>
      <w:r/>
    </w:p>
    <w:p>
      <w:pPr>
        <w:pStyle w:val="937"/>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五、开启</w:t>
      </w:r>
      <w:r>
        <w:rPr>
          <w:rFonts w:hint="eastAsia" w:ascii="宋体" w:hAnsi="宋体" w:eastAsia="宋体" w:cs="宋体"/>
          <w:b/>
          <w:bCs/>
          <w:sz w:val="24"/>
          <w:szCs w:val="24"/>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时间：</w:t>
      </w:r>
      <w:bookmarkEnd w:id="10"/>
      <w:r/>
      <w:bookmarkStart w:id="11" w:name="XMTBJSR_2"/>
      <w:r>
        <w:rPr>
          <w:rFonts w:hint="eastAsia" w:ascii="宋体" w:hAnsi="宋体" w:eastAsia="宋体" w:cs="宋体"/>
          <w:sz w:val="24"/>
          <w:szCs w:val="24"/>
        </w:rPr>
        <w:t xml:space="preserve">20</w:t>
      </w:r>
      <w:r>
        <w:rPr>
          <w:rFonts w:hint="eastAsia" w:ascii="宋体" w:hAnsi="宋体" w:eastAsia="宋体" w:cs="宋体"/>
          <w:sz w:val="24"/>
          <w:szCs w:val="24"/>
          <w:lang w:val="en-US" w:eastAsia="zh-CN"/>
        </w:rPr>
        <w:t xml:space="preserve">26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14:00</w:t>
      </w:r>
      <w:r>
        <w:rPr>
          <w:rFonts w:hint="eastAsia" w:ascii="宋体" w:hAnsi="宋体" w:eastAsia="宋体" w:cs="宋体"/>
          <w:sz w:val="24"/>
          <w:szCs w:val="24"/>
        </w:rPr>
        <w:t xml:space="preserve">（北京时间）</w:t>
      </w:r>
      <w:r>
        <w:rPr>
          <w:rFonts w:hint="eastAsia" w:ascii="宋体" w:hAnsi="宋体" w:eastAsia="宋体" w:cs="宋体"/>
          <w:sz w:val="24"/>
          <w:szCs w:val="24"/>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地点：本项目采用不见面交易方式，无需到现场提交，供应商登录</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供应商端，通过系统在线解密电子响应文件</w:t>
      </w:r>
      <w:bookmarkEnd w:id="11"/>
      <w:r>
        <w:rPr>
          <w:rFonts w:hint="eastAsia" w:ascii="宋体" w:hAnsi="宋体" w:eastAsia="宋体" w:cs="宋体"/>
          <w:sz w:val="24"/>
          <w:szCs w:val="24"/>
        </w:rPr>
      </w:r>
      <w:r/>
    </w:p>
    <w:p>
      <w:pPr>
        <w:pStyle w:val="937"/>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六、公告期限</w:t>
      </w:r>
      <w:r>
        <w:rPr>
          <w:rFonts w:hint="eastAsia" w:ascii="宋体" w:hAnsi="宋体" w:eastAsia="宋体" w:cs="宋体"/>
          <w:b/>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Cs/>
          <w:color w:val="000000"/>
          <w:spacing w:val="2"/>
          <w:sz w:val="24"/>
          <w:szCs w:val="24"/>
          <w:highlight w:val="none"/>
        </w:rPr>
        <w:t xml:space="preserve">自本公告发布之日起</w:t>
      </w:r>
      <w:r>
        <w:rPr>
          <w:rFonts w:hint="eastAsia" w:ascii="宋体" w:hAnsi="宋体" w:eastAsia="宋体" w:cs="宋体"/>
          <w:bCs/>
          <w:color w:val="000000"/>
          <w:spacing w:val="2"/>
          <w:sz w:val="24"/>
          <w:szCs w:val="24"/>
          <w:highlight w:val="none"/>
          <w:lang w:val="en-US" w:eastAsia="zh-CN"/>
        </w:rPr>
        <w:t xml:space="preserve">3</w:t>
      </w:r>
      <w:r>
        <w:rPr>
          <w:rFonts w:hint="eastAsia" w:ascii="宋体" w:hAnsi="宋体" w:eastAsia="宋体" w:cs="宋体"/>
          <w:bCs/>
          <w:color w:val="000000"/>
          <w:spacing w:val="2"/>
          <w:sz w:val="24"/>
          <w:szCs w:val="24"/>
          <w:highlight w:val="none"/>
        </w:rPr>
        <w:t xml:space="preserve">个工作日。</w:t>
      </w:r>
      <w:r>
        <w:rPr>
          <w:rFonts w:hint="eastAsia" w:ascii="宋体" w:hAnsi="宋体" w:eastAsia="宋体" w:cs="宋体"/>
          <w:b/>
          <w:color w:val="000000"/>
          <w:spacing w:val="2"/>
          <w:sz w:val="24"/>
          <w:szCs w:val="24"/>
          <w:highlight w:val="none"/>
        </w:rPr>
      </w:r>
      <w:r/>
    </w:p>
    <w:p>
      <w:pPr>
        <w:pStyle w:val="937"/>
        <w:ind w:firstLine="49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pacing w:val="2"/>
          <w:sz w:val="24"/>
          <w:szCs w:val="24"/>
          <w:highlight w:val="none"/>
        </w:rPr>
        <w:t xml:space="preserve">七、其他补充事宜</w:t>
      </w:r>
      <w:r>
        <w:rPr>
          <w:rFonts w:hint="eastAsia" w:ascii="宋体" w:hAnsi="宋体" w:eastAsia="宋体" w:cs="宋体"/>
          <w:color w:val="000000"/>
          <w:sz w:val="24"/>
          <w:szCs w:val="24"/>
          <w:highlight w:val="none"/>
        </w:rPr>
      </w:r>
      <w:r/>
    </w:p>
    <w:p>
      <w:pPr>
        <w:pStyle w:val="937"/>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1.本项目采用不见面交易方式，请供应商认真学习常州市政府采购网发布的相关操作手册，办理CA认证证书、进行</w:t>
      </w:r>
      <w:r>
        <w:rPr>
          <w:rFonts w:hint="eastAsia" w:ascii="宋体" w:hAnsi="宋体" w:eastAsia="宋体" w:cs="宋体"/>
          <w:sz w:val="24"/>
          <w:szCs w:val="24"/>
          <w:lang w:val="en-US" w:eastAsia="zh-CN"/>
        </w:rPr>
        <w:t xml:space="preserve">“苏采云”政府采购一体化平台</w:t>
      </w:r>
      <w:r>
        <w:rPr>
          <w:rFonts w:hint="eastAsia" w:ascii="宋体" w:hAnsi="宋体" w:eastAsia="宋体" w:cs="宋体"/>
          <w:sz w:val="24"/>
          <w:szCs w:val="24"/>
        </w:rPr>
        <w:t xml:space="preserve">注册绑定，并认真核实数字认证证书情况确认是否符合本项目电子化采购流程要求</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37"/>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信用融资：</w:t>
      </w:r>
      <w:r>
        <w:rPr>
          <w:rFonts w:hint="eastAsia" w:ascii="宋体" w:hAnsi="宋体" w:eastAsia="宋体" w:cs="宋体"/>
          <w:sz w:val="24"/>
          <w:szCs w:val="24"/>
        </w:rPr>
      </w:r>
      <w:r/>
    </w:p>
    <w:p>
      <w:pPr>
        <w:pStyle w:val="937"/>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37"/>
        <w:ind w:firstLine="490"/>
        <w:keepLines w:val="0"/>
        <w:keepNext w:val="0"/>
        <w:pageBreakBefore w:val="0"/>
        <w:spacing w:line="360" w:lineRule="auto"/>
        <w:rPr>
          <w:rFonts w:hint="eastAsia" w:ascii="宋体" w:hAnsi="宋体" w:eastAsia="宋体" w:cs="宋体"/>
          <w:b/>
          <w:color w:val="000000"/>
          <w:spacing w:val="2"/>
          <w:sz w:val="24"/>
          <w:szCs w:val="24"/>
          <w:highlight w:val="none"/>
        </w:rPr>
      </w:pPr>
      <w:r>
        <w:rPr>
          <w:rFonts w:hint="eastAsia" w:ascii="宋体" w:hAnsi="宋体" w:eastAsia="宋体" w:cs="宋体"/>
          <w:b/>
          <w:color w:val="000000"/>
          <w:spacing w:val="2"/>
          <w:sz w:val="24"/>
          <w:szCs w:val="24"/>
          <w:highlight w:val="none"/>
        </w:rPr>
        <w:t xml:space="preserve">八、凡对本次采购提出询问，请按以下方式联系：</w:t>
      </w:r>
      <w:r>
        <w:rPr>
          <w:rFonts w:hint="eastAsia" w:ascii="宋体" w:hAnsi="宋体" w:eastAsia="宋体" w:cs="宋体"/>
          <w:b/>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1.采购人信息</w:t>
      </w:r>
      <w:r>
        <w:rPr>
          <w:rFonts w:hint="eastAsia" w:ascii="宋体" w:hAnsi="宋体" w:eastAsia="宋体" w:cs="宋体"/>
          <w:bCs/>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lang w:eastAsia="zh-CN"/>
        </w:rPr>
      </w:pPr>
      <w:r>
        <w:rPr>
          <w:rFonts w:hint="eastAsia" w:ascii="宋体" w:hAnsi="宋体" w:eastAsia="宋体" w:cs="宋体"/>
          <w:bCs/>
          <w:color w:val="000000"/>
          <w:spacing w:val="2"/>
          <w:sz w:val="24"/>
          <w:szCs w:val="24"/>
          <w:highlight w:val="none"/>
        </w:rPr>
        <w:t xml:space="preserve">名   称：</w:t>
      </w:r>
      <w:r>
        <w:rPr>
          <w:rFonts w:hint="eastAsia" w:ascii="宋体" w:hAnsi="宋体" w:eastAsia="宋体" w:cs="宋体"/>
          <w:bCs/>
          <w:color w:val="000000"/>
          <w:spacing w:val="2"/>
          <w:sz w:val="24"/>
          <w:szCs w:val="24"/>
          <w:highlight w:val="none"/>
          <w:lang w:eastAsia="zh-CN"/>
        </w:rPr>
        <w:t xml:space="preserve">江苏常州天宁经济开发区管理委员会</w:t>
      </w:r>
      <w:r>
        <w:rPr>
          <w:rFonts w:hint="eastAsia" w:ascii="宋体" w:hAnsi="宋体" w:eastAsia="宋体" w:cs="宋体"/>
          <w:bCs/>
          <w:color w:val="000000"/>
          <w:spacing w:val="2"/>
          <w:sz w:val="24"/>
          <w:szCs w:val="24"/>
          <w:highlight w:val="none"/>
          <w:lang w:eastAsia="zh-CN"/>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rPr>
        <w:t xml:space="preserve">地   址：</w:t>
      </w:r>
      <w:r>
        <w:rPr>
          <w:rFonts w:hint="eastAsia" w:ascii="宋体" w:hAnsi="宋体" w:eastAsia="宋体" w:cs="宋体"/>
          <w:bCs/>
          <w:color w:val="000000"/>
          <w:spacing w:val="2"/>
          <w:sz w:val="24"/>
          <w:szCs w:val="24"/>
          <w:highlight w:val="none"/>
          <w:lang w:val="en-US" w:eastAsia="zh-CN"/>
        </w:rPr>
        <w:t xml:space="preserve">江苏省常州市北塘河东路5号</w:t>
      </w:r>
      <w:r>
        <w:rPr>
          <w:rFonts w:hint="eastAsia" w:ascii="宋体" w:hAnsi="宋体" w:eastAsia="宋体" w:cs="宋体"/>
          <w:bCs/>
          <w:color w:val="000000"/>
          <w:spacing w:val="2"/>
          <w:sz w:val="24"/>
          <w:szCs w:val="24"/>
          <w:highlight w:val="none"/>
          <w:lang w:val="en-US" w:eastAsia="zh-CN"/>
        </w:rPr>
      </w:r>
      <w:r/>
    </w:p>
    <w:p>
      <w:pPr>
        <w:pStyle w:val="937"/>
        <w:ind w:firstLine="488"/>
        <w:keepLines w:val="0"/>
        <w:keepNext w:val="0"/>
        <w:pageBreakBefore w:val="0"/>
        <w:spacing w:line="360" w:lineRule="auto"/>
        <w:rPr>
          <w:rFonts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en-US" w:eastAsia="zh-CN"/>
        </w:rPr>
        <w:t xml:space="preserve">联 系 人：刘女士</w:t>
      </w:r>
      <w:r>
        <w:rPr>
          <w:rFonts w:ascii="宋体" w:hAnsi="宋体" w:eastAsia="宋体" w:cs="宋体"/>
          <w:bCs/>
          <w:color w:val="000000"/>
          <w:spacing w:val="2"/>
          <w:sz w:val="24"/>
          <w:szCs w:val="24"/>
          <w:highlight w:val="none"/>
          <w:lang w:val="en-US" w:eastAsia="zh-CN"/>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lang w:val="en-US" w:eastAsia="zh-CN"/>
        </w:rPr>
      </w:pPr>
      <w:r>
        <w:rPr>
          <w:rFonts w:hint="eastAsia" w:ascii="宋体" w:hAnsi="宋体" w:eastAsia="宋体" w:cs="宋体"/>
          <w:bCs/>
          <w:color w:val="000000"/>
          <w:spacing w:val="2"/>
          <w:sz w:val="24"/>
          <w:szCs w:val="24"/>
          <w:highlight w:val="none"/>
          <w:lang w:val="zh-CN" w:eastAsia="zh-CN"/>
        </w:rPr>
        <w:t xml:space="preserve">电　</w:t>
      </w:r>
      <w:r>
        <w:rPr>
          <w:rFonts w:hint="eastAsia" w:ascii="宋体" w:hAnsi="宋体" w:eastAsia="宋体" w:cs="宋体"/>
          <w:bCs/>
          <w:color w:val="000000"/>
          <w:spacing w:val="2"/>
          <w:sz w:val="24"/>
          <w:szCs w:val="24"/>
          <w:highlight w:val="none"/>
          <w:lang w:val="en-US" w:eastAsia="zh-CN"/>
        </w:rPr>
        <w:t xml:space="preserve"> </w:t>
      </w:r>
      <w:r>
        <w:rPr>
          <w:rFonts w:hint="eastAsia" w:ascii="宋体" w:hAnsi="宋体" w:eastAsia="宋体" w:cs="宋体"/>
          <w:bCs/>
          <w:color w:val="000000"/>
          <w:spacing w:val="2"/>
          <w:sz w:val="24"/>
          <w:szCs w:val="24"/>
          <w:highlight w:val="none"/>
          <w:lang w:val="zh-CN" w:eastAsia="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宋体" w:hAnsi="宋体" w:eastAsia="宋体" w:cs="宋体"/>
          <w:bCs/>
          <w:color w:val="000000"/>
          <w:spacing w:val="2"/>
          <w:sz w:val="24"/>
          <w:szCs w:val="24"/>
          <w:highlight w:val="none"/>
          <w:lang w:val="en-US" w:eastAsia="zh-CN"/>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2.采购代理机构信息</w:t>
      </w:r>
      <w:r>
        <w:rPr>
          <w:rFonts w:hint="eastAsia" w:ascii="宋体" w:hAnsi="宋体" w:eastAsia="宋体" w:cs="宋体"/>
          <w:bCs/>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名 称：常州正衡招投标有限公司 </w:t>
      </w:r>
      <w:r>
        <w:rPr>
          <w:rFonts w:hint="eastAsia" w:ascii="宋体" w:hAnsi="宋体" w:eastAsia="宋体" w:cs="宋体"/>
          <w:bCs/>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地 址：常州市</w:t>
      </w:r>
      <w:r>
        <w:rPr>
          <w:rFonts w:hint="eastAsia" w:ascii="宋体" w:hAnsi="宋体" w:eastAsia="宋体" w:cs="宋体"/>
          <w:color w:val="000000"/>
          <w:sz w:val="24"/>
          <w:szCs w:val="24"/>
          <w:highlight w:val="none"/>
          <w:lang w:val="zh-CN"/>
        </w:rPr>
        <w:t xml:space="preserve">新北区新城府翰苑6栋9楼</w:t>
      </w:r>
      <w:r>
        <w:rPr>
          <w:rFonts w:hint="eastAsia" w:ascii="宋体" w:hAnsi="宋体" w:eastAsia="宋体" w:cs="宋体"/>
          <w:bCs/>
          <w:color w:val="000000"/>
          <w:spacing w:val="2"/>
          <w:sz w:val="24"/>
          <w:szCs w:val="24"/>
          <w:highlight w:val="none"/>
        </w:rPr>
      </w:r>
      <w:r/>
    </w:p>
    <w:p>
      <w:pPr>
        <w:pStyle w:val="937"/>
        <w:ind w:firstLine="488"/>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Cs/>
          <w:color w:val="000000"/>
          <w:spacing w:val="2"/>
          <w:sz w:val="24"/>
          <w:szCs w:val="24"/>
          <w:highlight w:val="none"/>
        </w:rPr>
        <w:t xml:space="preserve">3.项目联系方式</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项目联系人：</w:t>
      </w:r>
      <w:r>
        <w:rPr>
          <w:rFonts w:hint="eastAsia" w:ascii="宋体" w:hAnsi="宋体" w:eastAsia="宋体" w:cs="宋体"/>
          <w:color w:val="000000"/>
          <w:sz w:val="24"/>
          <w:szCs w:val="24"/>
          <w:highlight w:val="none"/>
          <w:lang w:val="en-US" w:eastAsia="zh-CN"/>
        </w:rPr>
        <w:t xml:space="preserve">刘欢</w:t>
      </w:r>
      <w:r>
        <w:rPr>
          <w:rFonts w:hint="eastAsia" w:ascii="宋体" w:hAnsi="宋体" w:eastAsia="宋体" w:cs="宋体"/>
          <w:color w:val="000000"/>
          <w:sz w:val="24"/>
          <w:szCs w:val="24"/>
          <w:highlight w:val="none"/>
          <w:lang w:val="zh-CN" w:eastAsia="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电　话：0519-8</w:t>
      </w:r>
      <w:r>
        <w:rPr>
          <w:rFonts w:hint="eastAsia" w:ascii="宋体" w:hAnsi="宋体" w:eastAsia="宋体" w:cs="宋体"/>
          <w:color w:val="000000"/>
          <w:sz w:val="24"/>
          <w:szCs w:val="24"/>
          <w:highlight w:val="none"/>
          <w:lang w:val="en-US" w:eastAsia="zh-CN"/>
        </w:rPr>
        <w:t xml:space="preserve">5510566</w:t>
      </w:r>
      <w:bookmarkStart w:id="12" w:name="XMDW_2"/>
      <w:r/>
      <w:bookmarkStart w:id="13" w:name="_Toc264969275"/>
      <w:r/>
      <w:bookmarkStart w:id="14" w:name="_Toc305158928"/>
      <w:r/>
      <w:bookmarkStart w:id="15" w:name="_Toc512937850"/>
      <w:r/>
      <w:bookmarkStart w:id="16" w:name="_Toc353825548"/>
      <w:r/>
      <w:bookmarkStart w:id="17" w:name="_Toc226965856"/>
      <w:r/>
      <w:bookmarkStart w:id="18" w:name="_Toc265228423"/>
      <w:r/>
      <w:bookmarkStart w:id="19" w:name="_Toc353873938"/>
      <w:r/>
      <w:bookmarkStart w:id="20" w:name="_Toc305158854"/>
      <w:r/>
      <w:bookmarkStart w:id="21" w:name="_Toc127151777"/>
      <w:r/>
      <w:bookmarkStart w:id="22" w:name="_Toc150774783"/>
      <w:r/>
      <w:bookmarkStart w:id="23" w:name="_Toc127161488"/>
      <w:r/>
      <w:bookmarkStart w:id="24" w:name="_Toc195842950"/>
      <w:r>
        <w:rPr>
          <w:rFonts w:hint="eastAsia" w:ascii="宋体" w:hAnsi="宋体" w:eastAsia="宋体" w:cs="宋体"/>
          <w:color w:val="000000"/>
          <w:sz w:val="24"/>
          <w:szCs w:val="24"/>
          <w:highlight w:val="none"/>
          <w:lang w:val="en-US" w:eastAsia="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电子化招投标技术支持电话：0519-85588210</w:t>
      </w:r>
      <w:r>
        <w:rPr>
          <w:rFonts w:hint="eastAsia" w:ascii="宋体" w:hAnsi="宋体" w:eastAsia="宋体" w:cs="宋体"/>
          <w:color w:val="000000"/>
          <w:sz w:val="24"/>
          <w:szCs w:val="24"/>
          <w:highlight w:val="none"/>
          <w:lang w:val="zh-CN"/>
        </w:rPr>
      </w:r>
      <w:r/>
    </w:p>
    <w:p>
      <w:pPr>
        <w:pStyle w:val="937"/>
        <w:jc w:val="center"/>
        <w:spacing w:line="360" w:lineRule="auto"/>
        <w:rPr>
          <w:b/>
          <w:color w:val="000000"/>
          <w:sz w:val="32"/>
          <w:szCs w:val="32"/>
          <w:highlight w:val="none"/>
        </w:rPr>
      </w:pPr>
      <w:r/>
      <w:bookmarkEnd w:id="12"/>
      <w:r/>
      <w:bookmarkStart w:id="25" w:name="_Toc5796"/>
      <w:r>
        <w:rPr>
          <w:b/>
          <w:color w:val="000000"/>
          <w:sz w:val="36"/>
          <w:szCs w:val="36"/>
          <w:highlight w:val="none"/>
        </w:rPr>
        <w:br w:type="page" w:clear="all"/>
      </w:r>
      <w:r>
        <w:rPr>
          <w:b/>
          <w:color w:val="000000"/>
          <w:sz w:val="36"/>
          <w:szCs w:val="36"/>
          <w:highlight w:val="none"/>
        </w:rPr>
        <w:t xml:space="preserve">第二章   供应商须知</w:t>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rPr>
          <w:b/>
          <w:color w:val="000000"/>
          <w:sz w:val="32"/>
          <w:szCs w:val="32"/>
          <w:highlight w:val="none"/>
        </w:rPr>
      </w:r>
      <w:r/>
    </w:p>
    <w:p>
      <w:pPr>
        <w:pStyle w:val="939"/>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26" w:name="_Toc226965709"/>
      <w:r/>
      <w:bookmarkStart w:id="27" w:name="_Toc151193689"/>
      <w:r/>
      <w:bookmarkStart w:id="28" w:name="_Toc151193907"/>
      <w:r/>
      <w:bookmarkStart w:id="29" w:name="_Toc150774724"/>
      <w:r/>
      <w:bookmarkStart w:id="30" w:name="_Toc127151720"/>
      <w:r/>
      <w:bookmarkStart w:id="31" w:name="_Toc151193833"/>
      <w:r/>
      <w:bookmarkStart w:id="32" w:name="_Toc164229360"/>
      <w:r/>
      <w:bookmarkStart w:id="33" w:name="_Toc151193617"/>
      <w:r/>
      <w:bookmarkStart w:id="34" w:name="_Toc149720812"/>
      <w:r/>
      <w:bookmarkStart w:id="35" w:name="_Toc195842884"/>
      <w:r/>
      <w:bookmarkStart w:id="36" w:name="_Toc127151519"/>
      <w:r/>
      <w:bookmarkStart w:id="37" w:name="_Toc164608788"/>
      <w:r/>
      <w:bookmarkStart w:id="38" w:name="_Toc151193761"/>
      <w:r/>
      <w:bookmarkStart w:id="39" w:name="_Toc226309763"/>
      <w:r/>
      <w:bookmarkStart w:id="40" w:name="_Toc164229214"/>
      <w:r/>
      <w:bookmarkStart w:id="41" w:name="_Toc142311021"/>
      <w:r/>
      <w:bookmarkStart w:id="42" w:name="_Toc151190146"/>
      <w:r/>
      <w:bookmarkStart w:id="43" w:name="_Toc164351613"/>
      <w:r/>
      <w:bookmarkStart w:id="44" w:name="_Toc226965792"/>
      <w:r/>
      <w:bookmarkStart w:id="45" w:name="_Toc226337215"/>
      <w:r/>
      <w:bookmarkStart w:id="46" w:name="_Toc520356144"/>
      <w:r/>
      <w:bookmarkStart w:id="47" w:name="_Toc150509270"/>
      <w:r/>
      <w:bookmarkStart w:id="48" w:name="_Toc150480757"/>
      <w:r/>
      <w:bookmarkStart w:id="49" w:name="_Toc150774619"/>
      <w:r/>
      <w:bookmarkStart w:id="50" w:name="_Toc127161433"/>
      <w:r/>
      <w:bookmarkStart w:id="51" w:name="_Toc164608633"/>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p>
      <w:pPr>
        <w:pStyle w:val="937"/>
        <w:ind w:firstLine="480"/>
        <w:spacing w:line="360" w:lineRule="auto"/>
        <w:rPr>
          <w:b/>
          <w:color w:val="000000"/>
          <w:sz w:val="28"/>
          <w:szCs w:val="28"/>
          <w:highlight w:val="none"/>
        </w:rPr>
      </w:pPr>
      <w:r>
        <w:rPr>
          <w:color w:val="000000"/>
          <w:sz w:val="24"/>
          <w:highlight w:val="none"/>
        </w:rPr>
        <w:t xml:space="preserve">本表是对供应商须知的具体补充和修改，如有矛盾，均以本资料表为准。标记“</w:t>
      </w:r>
      <w:r>
        <w:rPr>
          <w:rFonts w:ascii="Wingdings 2" w:hAnsi="Wingdings 2" w:eastAsia="Wingdings 2" w:cs="Wingdings 2"/>
          <w:color w:val="000000"/>
          <w:sz w:val="24"/>
          <w:highlight w:val="none"/>
        </w:rPr>
        <w:t xml:space="preserve">R</w:t>
      </w:r>
      <w:r>
        <w:rPr>
          <w:color w:val="000000"/>
          <w:sz w:val="24"/>
          <w:highlight w:val="none"/>
        </w:rPr>
        <w:t xml:space="preserve">”的选项意为适用于本项目，标记“</w:t>
      </w:r>
      <w:r>
        <w:rPr>
          <w:color w:val="000000"/>
          <w:highlight w:val="none"/>
        </w:rPr>
        <w:t xml:space="preserve">□</w:t>
      </w:r>
      <w:r>
        <w:rPr>
          <w:color w:val="000000"/>
          <w:sz w:val="24"/>
          <w:highlight w:val="none"/>
        </w:rPr>
        <w:t xml:space="preserve">”的选项意为不适用于本项目。</w:t>
      </w:r>
      <w:r>
        <w:rPr>
          <w:b/>
          <w:color w:val="000000"/>
          <w:sz w:val="28"/>
          <w:szCs w:val="28"/>
          <w:highlight w:val="none"/>
        </w:rPr>
      </w:r>
      <w:r/>
    </w:p>
    <w:tbl>
      <w:tblPr>
        <w:tblW w:w="91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484"/>
      </w:tblGrid>
      <w:tr>
        <w:trPr>
          <w:trHeight w:val="594"/>
          <w:tblHeader/>
        </w:trPr>
        <w:tc>
          <w:tcPr>
            <w:tcW w:w="988" w:type="dxa"/>
            <w:vAlign w:val="center"/>
            <w:textDirection w:val="lrTb"/>
            <w:noWrap w:val="false"/>
          </w:tcPr>
          <w:p>
            <w:pPr>
              <w:pStyle w:val="937"/>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937"/>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484" w:type="dxa"/>
            <w:vAlign w:val="center"/>
            <w:textDirection w:val="lrTb"/>
            <w:noWrap w:val="false"/>
          </w:tcPr>
          <w:p>
            <w:pPr>
              <w:pStyle w:val="937"/>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项目属性</w:t>
            </w:r>
            <w:r>
              <w:rPr>
                <w:color w:val="000000"/>
                <w:sz w:val="24"/>
                <w:highlight w:val="none"/>
              </w:rPr>
            </w:r>
            <w:r/>
          </w:p>
        </w:tc>
        <w:tc>
          <w:tcPr>
            <w:tcW w:w="6484" w:type="dxa"/>
            <w:vAlign w:val="center"/>
            <w:textDirection w:val="lrTb"/>
            <w:noWrap w:val="false"/>
          </w:tcPr>
          <w:p>
            <w:pPr>
              <w:pStyle w:val="937"/>
              <w:jc w:val="left"/>
              <w:rPr>
                <w:color w:val="000000"/>
                <w:sz w:val="24"/>
                <w:highlight w:val="none"/>
                <w:u w:val="single"/>
              </w:rPr>
            </w:pPr>
            <w:r>
              <w:rPr>
                <w:color w:val="000000"/>
                <w:sz w:val="24"/>
                <w:highlight w:val="none"/>
              </w:rPr>
              <w:t xml:space="preserve">项目属性：</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科研仪器设备</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是</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否</w:t>
            </w:r>
            <w:r>
              <w:rPr>
                <w:color w:val="000000"/>
                <w:sz w:val="24"/>
                <w:highlight w:val="none"/>
              </w:rPr>
            </w:r>
            <w:r/>
          </w:p>
        </w:tc>
      </w:tr>
      <w:tr>
        <w:trPr>
          <w:trHeight w:val="20"/>
        </w:trPr>
        <w:tc>
          <w:tcPr>
            <w:tcW w:w="988" w:type="dxa"/>
            <w:vAlign w:val="center"/>
            <w:vMerge w:val="restart"/>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3.1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现场考察</w:t>
            </w:r>
            <w:r>
              <w:rPr>
                <w:color w:val="000000"/>
                <w:sz w:val="24"/>
                <w:highlight w:val="none"/>
              </w:rPr>
            </w:r>
            <w:r/>
          </w:p>
        </w:tc>
        <w:tc>
          <w:tcPr>
            <w:tcW w:w="6484" w:type="dxa"/>
            <w:vAlign w:val="center"/>
            <w:textDirection w:val="lrTb"/>
            <w:noWrap w:val="false"/>
          </w:tcPr>
          <w:p>
            <w:pPr>
              <w:pStyle w:val="937"/>
              <w:jc w:val="left"/>
              <w:rPr>
                <w:b/>
                <w:bCs/>
                <w:sz w:val="24"/>
              </w:rPr>
            </w:pPr>
            <w:r>
              <w:rPr>
                <w:rFonts w:ascii="Wingdings 2" w:hAnsi="Wingdings 2" w:eastAsia="Wingdings 2" w:cs="Wingdings 2"/>
                <w:color w:val="000000"/>
                <w:sz w:val="24"/>
                <w:highlight w:val="none"/>
              </w:rPr>
              <w:t xml:space="preserve">R</w:t>
            </w:r>
            <w:r>
              <w:rPr>
                <w:color w:val="000000"/>
                <w:sz w:val="24"/>
                <w:highlight w:val="none"/>
              </w:rPr>
              <w:t xml:space="preserve">不组织</w:t>
            </w:r>
            <w:r>
              <w:rPr>
                <w:rFonts w:hint="eastAsia"/>
                <w:color w:val="000000"/>
                <w:sz w:val="24"/>
                <w:highlight w:val="none"/>
                <w:lang w:eastAsia="zh-CN"/>
              </w:rPr>
              <w:t xml:space="preserve">，</w:t>
            </w:r>
            <w:r>
              <w:rPr>
                <w:rFonts w:hint="eastAsia"/>
                <w:b/>
                <w:bCs/>
                <w:color w:val="000000"/>
                <w:sz w:val="24"/>
                <w:highlight w:val="none"/>
                <w:lang w:val="en-US" w:eastAsia="zh-CN"/>
              </w:rPr>
              <w:t xml:space="preserve">投标</w:t>
            </w:r>
            <w:r>
              <w:rPr>
                <w:b/>
                <w:bCs/>
                <w:sz w:val="24"/>
              </w:rPr>
              <w:t xml:space="preserve">供应商投标前应自行安排人员至现场踏勘了解项目情况，在成交后不得以未踏勘现场为由向采购人提出其他任何要求。</w:t>
            </w:r>
            <w:r>
              <w:rPr>
                <w:b/>
                <w:bCs/>
                <w:sz w:val="24"/>
              </w:rPr>
            </w:r>
            <w:r/>
          </w:p>
          <w:p>
            <w:pPr>
              <w:pStyle w:val="937"/>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76"/>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考察地点：___________</w:t>
            </w:r>
            <w:r>
              <w:rPr>
                <w:rFonts w:ascii="Times New Roman" w:hAnsi="Times New Roman"/>
                <w:color w:val="000000"/>
                <w:sz w:val="24"/>
                <w:szCs w:val="24"/>
                <w:highlight w:val="none"/>
                <w:lang w:val="en-US" w:eastAsia="zh-CN"/>
              </w:rPr>
              <w:t xml:space="preserve">。</w:t>
            </w:r>
            <w:r>
              <w:rPr>
                <w:rFonts w:ascii="Times New Roman" w:hAnsi="Times New Roman"/>
                <w:color w:val="000000"/>
                <w:sz w:val="24"/>
                <w:szCs w:val="24"/>
                <w:highlight w:val="none"/>
                <w:lang w:val="en-US" w:eastAsia="zh-CN"/>
              </w:rPr>
            </w:r>
            <w:r/>
          </w:p>
        </w:tc>
      </w:tr>
      <w:tr>
        <w:trPr>
          <w:trHeight w:val="20"/>
        </w:trPr>
        <w:tc>
          <w:tcPr>
            <w:tcW w:w="988" w:type="dxa"/>
            <w:vAlign w:val="center"/>
            <w:vMerge w:val="continue"/>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磋商前答疑会</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不召开</w:t>
            </w:r>
            <w:r>
              <w:rPr>
                <w:color w:val="000000"/>
                <w:sz w:val="24"/>
                <w:highlight w:val="none"/>
              </w:rPr>
            </w:r>
            <w:r/>
          </w:p>
          <w:p>
            <w:pPr>
              <w:pStyle w:val="937"/>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937"/>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1535"/>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4.2.5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标的所属行业</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建筑业</w:t>
            </w:r>
            <w:r>
              <w:rPr>
                <w:rFonts w:hint="eastAsia"/>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 w:val="24"/>
                <w:highlight w:val="none"/>
              </w:rPr>
            </w:r>
            <w:r/>
          </w:p>
        </w:tc>
      </w:tr>
      <w:tr>
        <w:trPr>
          <w:trHeight w:val="89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10.2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报价</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报价的特殊规定：</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w:t>
            </w:r>
            <w:r>
              <w:rPr>
                <w:rFonts w:ascii="Times New Roman" w:hAnsi="Times New Roman" w:eastAsia="宋体" w:cs="Times New Roman"/>
                <w:color w:val="000000"/>
                <w:sz w:val="24"/>
                <w:highlight w:val="none"/>
              </w:rPr>
              <w:t xml:space="preserve">有，具体情形：</w:t>
            </w:r>
            <w:r>
              <w:rPr>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11.1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rFonts w:eastAsia="宋体"/>
                <w:color w:val="000000"/>
                <w:sz w:val="24"/>
                <w:highlight w:val="none"/>
                <w:lang w:val="en-US" w:eastAsia="zh-CN"/>
              </w:rPr>
            </w:pPr>
            <w:r>
              <w:rPr>
                <w:rFonts w:ascii="Times New Roman" w:hAnsi="Times New Roman" w:eastAsia="宋体" w:cs="Times New Roman"/>
                <w:color w:val="000000"/>
                <w:sz w:val="24"/>
                <w:highlight w:val="none"/>
              </w:rPr>
              <w:t xml:space="preserve">磋商保证金</w:t>
            </w:r>
            <w:r>
              <w:rPr>
                <w:rFonts w:hint="eastAsia" w:ascii="Times New Roman" w:hAnsi="Times New Roman" w:eastAsia="宋体" w:cs="Times New Roman"/>
                <w:color w:val="000000"/>
                <w:sz w:val="24"/>
                <w:highlight w:val="none"/>
                <w:lang w:val="en-US" w:eastAsia="zh-CN"/>
              </w:rPr>
              <w:t xml:space="preserve">、履约保证金</w:t>
            </w:r>
            <w:r>
              <w:rPr>
                <w:rFonts w:eastAsia="宋体"/>
                <w:color w:val="000000"/>
                <w:sz w:val="24"/>
                <w:highlight w:val="none"/>
                <w:lang w:val="en-US" w:eastAsia="zh-CN"/>
              </w:rPr>
            </w:r>
            <w:r/>
          </w:p>
        </w:tc>
        <w:tc>
          <w:tcPr>
            <w:tcW w:w="6484" w:type="dxa"/>
            <w:vAlign w:val="center"/>
            <w:textDirection w:val="lrTb"/>
            <w:noWrap w:val="false"/>
          </w:tcPr>
          <w:p>
            <w:pPr>
              <w:pStyle w:val="937"/>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12.1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响应有效期</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自提交响应文件的截止之日起算</w:t>
            </w:r>
            <w:r>
              <w:rPr>
                <w:rFonts w:hint="eastAsia"/>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23.5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分包</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不允许</w:t>
            </w:r>
            <w:r>
              <w:rPr>
                <w:color w:val="000000"/>
                <w:sz w:val="24"/>
                <w:highlight w:val="none"/>
              </w:rPr>
            </w:r>
            <w:r/>
          </w:p>
          <w:p>
            <w:pPr>
              <w:pStyle w:val="937"/>
              <w:jc w:val="lef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允许，具体要求：_______。</w:t>
            </w:r>
            <w:r>
              <w:rPr>
                <w:color w:val="000000"/>
                <w:sz w:val="24"/>
                <w:highlight w:val="none"/>
              </w:rPr>
            </w:r>
            <w:r/>
          </w:p>
          <w:p>
            <w:pPr>
              <w:pStyle w:val="937"/>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937"/>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937"/>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24.1</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询问</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纸质书面形式</w:t>
            </w:r>
            <w:r>
              <w:rPr>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24.2</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rFonts w:hint="eastAsia"/>
                <w:color w:val="000000"/>
                <w:sz w:val="24"/>
                <w:highlight w:val="none"/>
              </w:rPr>
            </w:pPr>
            <w:r>
              <w:rPr>
                <w:rFonts w:hint="eastAsia"/>
                <w:color w:val="000000"/>
                <w:sz w:val="24"/>
                <w:highlight w:val="none"/>
              </w:rPr>
              <w:t xml:space="preserve">质疑</w:t>
            </w:r>
            <w:r>
              <w:rPr>
                <w:rFonts w:hint="eastAsia"/>
                <w:color w:val="000000"/>
                <w:sz w:val="24"/>
                <w:highlight w:val="none"/>
              </w:rPr>
            </w:r>
            <w:r/>
          </w:p>
        </w:tc>
        <w:tc>
          <w:tcPr>
            <w:tcW w:w="6484" w:type="dxa"/>
            <w:vAlign w:val="center"/>
            <w:textDirection w:val="lrTb"/>
            <w:noWrap w:val="false"/>
          </w:tcPr>
          <w:p>
            <w:pPr>
              <w:pStyle w:val="937"/>
              <w:jc w:val="left"/>
              <w:rPr>
                <w:color w:val="000000"/>
                <w:sz w:val="24"/>
                <w:highlight w:val="none"/>
              </w:rPr>
            </w:pPr>
            <w:r>
              <w:rPr>
                <w:rFonts w:hint="eastAsia" w:ascii="宋体" w:hAnsi="宋体"/>
                <w:color w:val="000000"/>
                <w:sz w:val="24"/>
                <w:highlight w:val="none"/>
              </w:rPr>
              <w:t xml:space="preserve">质疑</w:t>
            </w:r>
            <w:r>
              <w:rPr>
                <w:rFonts w:ascii="宋体" w:hAnsi="宋体"/>
                <w:color w:val="000000"/>
                <w:sz w:val="24"/>
                <w:highlight w:val="none"/>
              </w:rPr>
              <w:t xml:space="preserve">送达形式：</w:t>
            </w:r>
            <w:r>
              <w:rPr>
                <w:rFonts w:hint="eastAsia" w:ascii="宋体" w:hAnsi="宋体"/>
                <w:color w:val="000000"/>
                <w:sz w:val="24"/>
                <w:highlight w:val="none"/>
              </w:rPr>
              <w:t xml:space="preserve">纸质书面送达</w:t>
            </w:r>
            <w:r>
              <w:rPr>
                <w:color w:val="000000"/>
                <w:sz w:val="24"/>
                <w:highlight w:val="none"/>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24.3</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联系方式</w:t>
            </w:r>
            <w:r>
              <w:rPr>
                <w:color w:val="000000"/>
                <w:sz w:val="24"/>
                <w:highlight w:val="none"/>
              </w:rPr>
            </w:r>
            <w:r/>
          </w:p>
        </w:tc>
        <w:tc>
          <w:tcPr>
            <w:tcW w:w="6484" w:type="dxa"/>
            <w:vAlign w:val="center"/>
            <w:textDirection w:val="lrTb"/>
            <w:noWrap w:val="false"/>
          </w:tcPr>
          <w:p>
            <w:pPr>
              <w:pStyle w:val="937"/>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937"/>
              <w:jc w:val="left"/>
              <w:rPr>
                <w:rFonts w:hint="eastAsia" w:ascii="宋体" w:hAnsi="宋体" w:cs="宋体"/>
                <w:color w:val="000000"/>
                <w:sz w:val="24"/>
                <w:highlight w:val="none"/>
              </w:rPr>
            </w:pPr>
            <w:r>
              <w:rPr>
                <w:rFonts w:hint="eastAsia" w:ascii="宋体" w:hAnsi="宋体" w:cs="宋体"/>
                <w:color w:val="000000"/>
                <w:sz w:val="24"/>
                <w:highlight w:val="none"/>
              </w:rPr>
              <w:t xml:space="preserve">代理机构：常州正衡招投标有限公司</w:t>
            </w:r>
            <w:r>
              <w:rPr>
                <w:rFonts w:hint="eastAsia" w:ascii="宋体" w:hAnsi="宋体" w:cs="宋体"/>
                <w:color w:val="000000"/>
                <w:sz w:val="24"/>
                <w:highlight w:val="none"/>
              </w:rPr>
            </w:r>
            <w:r/>
          </w:p>
          <w:p>
            <w:pPr>
              <w:pStyle w:val="937"/>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937"/>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江苏常州天宁经济开发区管理委员会</w:t>
            </w:r>
            <w:r>
              <w:rPr>
                <w:rFonts w:hint="eastAsia" w:ascii="宋体" w:hAnsi="宋体" w:eastAsia="宋体" w:cs="宋体"/>
                <w:color w:val="000000"/>
                <w:sz w:val="24"/>
                <w:highlight w:val="none"/>
                <w:lang w:eastAsia="zh-CN"/>
              </w:rPr>
            </w:r>
            <w:r/>
          </w:p>
          <w:p>
            <w:pPr>
              <w:pStyle w:val="937"/>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val="en-US" w:eastAsia="zh-CN"/>
              </w:rPr>
              <w:t xml:space="preserve">江苏省常州市北塘河东路5号</w:t>
            </w:r>
            <w:r>
              <w:rPr>
                <w:rFonts w:ascii="宋体" w:hAnsi="宋体" w:eastAsia="宋体" w:cs="宋体"/>
                <w:color w:val="000000"/>
                <w:sz w:val="24"/>
                <w:highlight w:val="none"/>
                <w:lang w:val="en-US" w:eastAsia="zh-CN"/>
              </w:rPr>
            </w:r>
            <w:r/>
          </w:p>
          <w:p>
            <w:pPr>
              <w:pStyle w:val="937"/>
              <w:jc w:val="lef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刘女士</w:t>
            </w:r>
            <w:r>
              <w:rPr>
                <w:rFonts w:ascii="宋体" w:hAnsi="宋体" w:eastAsia="宋体" w:cs="宋体"/>
                <w:color w:val="000000"/>
                <w:sz w:val="24"/>
                <w:highlight w:val="none"/>
                <w:lang w:val="en-US" w:eastAsia="zh-CN"/>
              </w:rPr>
            </w:r>
            <w:r/>
          </w:p>
          <w:p>
            <w:pPr>
              <w:pStyle w:val="937"/>
              <w:jc w:val="left"/>
              <w:rPr>
                <w:rFonts w:hint="eastAsia" w:ascii="Times New Roman" w:hAnsi="Times New Roman" w:eastAsia="宋体" w:cs="Times New Roman"/>
                <w:color w:val="000000"/>
                <w:sz w:val="24"/>
                <w:highlight w:val="yellow"/>
              </w:rPr>
            </w:pPr>
            <w:r>
              <w:rPr>
                <w:rFonts w:hint="eastAsia" w:ascii="Times New Roman" w:hAnsi="Times New Roman" w:eastAsia="宋体" w:cs="Times New Roman"/>
                <w:color w:val="000000"/>
                <w:sz w:val="24"/>
                <w:highlight w:val="none"/>
                <w:lang w:val="zh-CN"/>
              </w:rPr>
              <w:t xml:space="preserve">电　</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话：</w:t>
            </w:r>
            <w:r>
              <w:rPr>
                <w:rFonts w:hint="eastAsia" w:ascii="宋体" w:hAnsi="宋体" w:eastAsia="宋体" w:cs="宋体"/>
                <w:bCs/>
                <w:color w:val="000000"/>
                <w:spacing w:val="2"/>
                <w:sz w:val="24"/>
                <w:szCs w:val="24"/>
                <w:highlight w:val="none"/>
                <w:lang w:val="en-US" w:eastAsia="zh-CN"/>
              </w:rPr>
              <w:t xml:space="preserve">0519-85506800</w:t>
            </w:r>
            <w:r>
              <w:rPr>
                <w:rFonts w:hint="eastAsia" w:ascii="Times New Roman" w:hAnsi="Times New Roman" w:eastAsia="宋体" w:cs="Times New Roman"/>
                <w:color w:val="000000"/>
                <w:sz w:val="24"/>
                <w:highlight w:val="yellow"/>
              </w:rPr>
            </w:r>
            <w:r/>
          </w:p>
          <w:p>
            <w:pPr>
              <w:pStyle w:val="937"/>
              <w:jc w:val="left"/>
              <w:rPr>
                <w:color w:val="000000"/>
                <w:sz w:val="24"/>
                <w:highlight w:val="none"/>
              </w:rPr>
            </w:pPr>
            <w:r>
              <w:rPr>
                <w:rFonts w:hint="eastAsia"/>
                <w:color w:val="000000"/>
                <w:sz w:val="24"/>
                <w:highlight w:val="none"/>
              </w:rPr>
              <w:t xml:space="preserve">2.采购代理机构信息</w:t>
            </w:r>
            <w:r>
              <w:rPr>
                <w:color w:val="000000"/>
                <w:sz w:val="24"/>
                <w:highlight w:val="none"/>
              </w:rPr>
            </w:r>
            <w:r/>
          </w:p>
          <w:p>
            <w:pPr>
              <w:pStyle w:val="937"/>
              <w:jc w:val="left"/>
              <w:rPr>
                <w:color w:val="000000"/>
                <w:sz w:val="24"/>
                <w:highlight w:val="none"/>
              </w:rPr>
            </w:pPr>
            <w:r>
              <w:rPr>
                <w:rFonts w:hint="eastAsia"/>
                <w:color w:val="000000"/>
                <w:sz w:val="24"/>
                <w:highlight w:val="none"/>
              </w:rPr>
              <w:t xml:space="preserve">名 称：常州正衡招投标有限公司 </w:t>
            </w:r>
            <w:r>
              <w:rPr>
                <w:color w:val="000000"/>
                <w:sz w:val="24"/>
                <w:highlight w:val="none"/>
              </w:rPr>
            </w:r>
            <w:r/>
          </w:p>
          <w:p>
            <w:pPr>
              <w:pStyle w:val="937"/>
              <w:jc w:val="left"/>
              <w:rPr>
                <w:color w:val="000000"/>
                <w:sz w:val="24"/>
                <w:highlight w:val="none"/>
              </w:rPr>
            </w:pPr>
            <w:r>
              <w:rPr>
                <w:rFonts w:hint="eastAsia"/>
                <w:color w:val="000000"/>
                <w:sz w:val="24"/>
                <w:highlight w:val="none"/>
              </w:rPr>
              <w:t xml:space="preserve">地 址：常州市</w:t>
            </w:r>
            <w:r>
              <w:rPr>
                <w:rFonts w:hint="eastAsia"/>
                <w:color w:val="000000"/>
                <w:sz w:val="24"/>
                <w:highlight w:val="none"/>
                <w:lang w:val="zh-CN"/>
              </w:rPr>
              <w:t xml:space="preserve">新北区新城府翰苑6栋9楼</w:t>
            </w:r>
            <w:r>
              <w:rPr>
                <w:color w:val="000000"/>
                <w:sz w:val="24"/>
                <w:highlight w:val="none"/>
              </w:rPr>
            </w:r>
            <w:r/>
          </w:p>
          <w:p>
            <w:pPr>
              <w:pStyle w:val="937"/>
              <w:jc w:val="left"/>
              <w:rPr>
                <w:color w:val="000000"/>
                <w:sz w:val="24"/>
                <w:highlight w:val="none"/>
                <w:lang w:val="zh-CN"/>
              </w:rPr>
            </w:pPr>
            <w:r>
              <w:rPr>
                <w:rFonts w:hint="eastAsia"/>
                <w:color w:val="000000"/>
                <w:sz w:val="24"/>
                <w:highlight w:val="none"/>
              </w:rPr>
              <w:t xml:space="preserve">3.项目联系方式</w:t>
            </w:r>
            <w:r>
              <w:rPr>
                <w:color w:val="000000"/>
                <w:sz w:val="24"/>
                <w:highlight w:val="none"/>
                <w:lang w:val="zh-CN"/>
              </w:rPr>
            </w:r>
            <w:r/>
          </w:p>
          <w:p>
            <w:pPr>
              <w:pStyle w:val="937"/>
              <w:jc w:val="left"/>
              <w:rPr>
                <w:rFonts w:hint="eastAsia" w:eastAsia="宋体"/>
                <w:color w:val="000000"/>
                <w:sz w:val="24"/>
                <w:highlight w:val="none"/>
                <w:lang w:val="zh-CN" w:eastAsia="zh-CN"/>
              </w:rPr>
            </w:pPr>
            <w:r>
              <w:rPr>
                <w:rFonts w:hint="eastAsia"/>
                <w:color w:val="000000"/>
                <w:sz w:val="24"/>
                <w:highlight w:val="none"/>
                <w:lang w:val="zh-CN"/>
              </w:rPr>
              <w:t xml:space="preserve">项目联系人：</w:t>
            </w:r>
            <w:r>
              <w:rPr>
                <w:rFonts w:hint="eastAsia"/>
                <w:color w:val="000000"/>
                <w:sz w:val="24"/>
                <w:highlight w:val="none"/>
                <w:lang w:val="en-US" w:eastAsia="zh-CN"/>
              </w:rPr>
              <w:t xml:space="preserve">刘欢</w:t>
            </w:r>
            <w:r>
              <w:rPr>
                <w:rFonts w:hint="eastAsia" w:eastAsia="宋体"/>
                <w:color w:val="000000"/>
                <w:sz w:val="24"/>
                <w:highlight w:val="none"/>
                <w:lang w:val="zh-CN" w:eastAsia="zh-CN"/>
              </w:rPr>
            </w:r>
            <w:r/>
          </w:p>
          <w:p>
            <w:pPr>
              <w:pStyle w:val="937"/>
              <w:jc w:val="left"/>
              <w:rPr>
                <w:rFonts w:eastAsia="宋体"/>
                <w:color w:val="000000"/>
                <w:sz w:val="24"/>
                <w:highlight w:val="none"/>
                <w:lang w:val="en-US" w:eastAsia="zh-CN"/>
              </w:rPr>
            </w:pPr>
            <w:r>
              <w:rPr>
                <w:rFonts w:hint="eastAsia"/>
                <w:color w:val="000000"/>
                <w:sz w:val="24"/>
                <w:highlight w:val="none"/>
                <w:lang w:val="zh-CN"/>
              </w:rPr>
              <w:t xml:space="preserve">电　话：0519-855</w:t>
            </w:r>
            <w:r>
              <w:rPr>
                <w:rFonts w:hint="eastAsia"/>
                <w:color w:val="000000"/>
                <w:sz w:val="24"/>
                <w:highlight w:val="none"/>
                <w:lang w:val="en-US" w:eastAsia="zh-CN"/>
              </w:rPr>
              <w:t xml:space="preserve">10566</w:t>
            </w:r>
            <w:r>
              <w:rPr>
                <w:rFonts w:eastAsia="宋体"/>
                <w:color w:val="000000"/>
                <w:sz w:val="24"/>
                <w:highlight w:val="none"/>
                <w:lang w:val="en-US" w:eastAsia="zh-CN"/>
              </w:rPr>
            </w:r>
            <w:r/>
          </w:p>
        </w:tc>
      </w:tr>
      <w:tr>
        <w:trPr>
          <w:trHeight w:val="20"/>
        </w:trPr>
        <w:tc>
          <w:tcPr>
            <w:tcW w:w="988" w:type="dxa"/>
            <w:vAlign w:val="center"/>
            <w:textDirection w:val="lrTb"/>
            <w:noWrap w:val="false"/>
          </w:tcPr>
          <w:p>
            <w:pPr>
              <w:pStyle w:val="976"/>
              <w:jc w:val="center"/>
              <w:rPr>
                <w:rFonts w:ascii="Times New Roman" w:hAnsi="Times New Roman"/>
                <w:color w:val="000000"/>
                <w:sz w:val="24"/>
                <w:szCs w:val="24"/>
                <w:highlight w:val="none"/>
                <w:lang w:val="en-US" w:eastAsia="zh-CN"/>
              </w:rPr>
            </w:pPr>
            <w:r>
              <w:rPr>
                <w:rFonts w:ascii="Times New Roman" w:hAnsi="Times New Roman"/>
                <w:color w:val="000000"/>
                <w:sz w:val="24"/>
                <w:szCs w:val="24"/>
                <w:highlight w:val="none"/>
                <w:lang w:val="en-US" w:eastAsia="zh-CN"/>
              </w:rPr>
              <w:t xml:space="preserve">25</w:t>
            </w:r>
            <w:r>
              <w:rPr>
                <w:rFonts w:ascii="Times New Roman" w:hAnsi="Times New Roman"/>
                <w:color w:val="000000"/>
                <w:sz w:val="24"/>
                <w:szCs w:val="24"/>
                <w:highlight w:val="none"/>
                <w:lang w:val="en-US" w:eastAsia="zh-CN"/>
              </w:rPr>
            </w:r>
            <w:r/>
          </w:p>
        </w:tc>
        <w:tc>
          <w:tcPr>
            <w:tcW w:w="1701" w:type="dxa"/>
            <w:vAlign w:val="center"/>
            <w:textDirection w:val="lrTb"/>
            <w:noWrap w:val="false"/>
          </w:tcPr>
          <w:p>
            <w:pPr>
              <w:pStyle w:val="937"/>
              <w:jc w:val="center"/>
              <w:rPr>
                <w:color w:val="000000"/>
                <w:sz w:val="24"/>
                <w:highlight w:val="none"/>
              </w:rPr>
            </w:pPr>
            <w:r>
              <w:rPr>
                <w:color w:val="000000"/>
                <w:sz w:val="24"/>
                <w:highlight w:val="none"/>
              </w:rPr>
              <w:t xml:space="preserve">代理费</w:t>
            </w:r>
            <w:r>
              <w:rPr>
                <w:color w:val="000000"/>
                <w:sz w:val="24"/>
                <w:highlight w:val="none"/>
              </w:rPr>
            </w:r>
            <w:r/>
          </w:p>
        </w:tc>
        <w:tc>
          <w:tcPr>
            <w:tcW w:w="6484" w:type="dxa"/>
            <w:vAlign w:val="center"/>
            <w:textDirection w:val="lrTb"/>
            <w:noWrap w:val="false"/>
          </w:tcPr>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收费对象：成交供应商</w:t>
            </w:r>
            <w:r>
              <w:rPr>
                <w:rFonts w:hint="eastAsia" w:ascii="宋体" w:hAnsi="宋体" w:cs="宋体"/>
                <w:bCs/>
                <w:spacing w:val="2"/>
                <w:sz w:val="24"/>
              </w:rPr>
            </w:r>
            <w:r/>
          </w:p>
          <w:tbl>
            <w:tblPr>
              <w:tblpPr w:horzAnchor="page" w:tblpX="862" w:vertAnchor="text" w:tblpY="1158" w:leftFromText="180" w:topFromText="0" w:rightFromText="180" w:bottomFromText="0"/>
              <w:tblW w:w="515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4"/>
              <w:gridCol w:w="2410"/>
            </w:tblGrid>
            <w:tr>
              <w:trPr>
                <w:trHeight w:val="1625"/>
              </w:trPr>
              <w:tc>
                <w:tcPr>
                  <w:tcW w:w="2744" w:type="dxa"/>
                  <w:vAlign w:val="top"/>
                  <w:textDirection w:val="lrTb"/>
                  <w:noWrap w:val="false"/>
                </w:tcPr>
                <w:p>
                  <w:pPr>
                    <w:pStyle w:val="937"/>
                    <w:ind w:firstLine="168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334645</wp:posOffset>
                            </wp:positionH>
                            <wp:positionV relativeFrom="paragraph">
                              <wp:posOffset>32385</wp:posOffset>
                            </wp:positionV>
                            <wp:extent cx="1321435" cy="121475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321435" cy="1214754"/>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6.3pt,2.5pt" to="130.4pt,98.2pt" filled="f" strokecolor="#000000"/>
                        </w:pict>
                      </mc:Fallback>
                    </mc:AlternateContent>
                  </w: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szCs w:val="21"/>
                      <w:lang w:eastAsia="zh-CN"/>
                    </w:rPr>
                    <w:t xml:space="preserve">项目</w:t>
                  </w:r>
                  <w:r>
                    <w:rPr>
                      <w:rFonts w:hint="eastAsia" w:ascii="宋体" w:hAnsi="宋体" w:eastAsia="宋体" w:cs="宋体"/>
                      <w:szCs w:val="21"/>
                    </w:rPr>
                    <w:t xml:space="preserve">类型</w:t>
                  </w:r>
                  <w:r>
                    <w:rPr>
                      <w:rFonts w:ascii="宋体" w:hAnsi="宋体" w:eastAsia="宋体" w:cs="宋体"/>
                      <w:szCs w:val="21"/>
                    </w:rPr>
                  </w:r>
                  <w:r/>
                </w:p>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费率　　</w:t>
                  </w:r>
                  <w:r>
                    <w:rPr>
                      <w:rFonts w:ascii="宋体" w:hAnsi="宋体" w:eastAsia="宋体" w:cs="宋体"/>
                      <w:szCs w:val="21"/>
                    </w:rPr>
                  </w:r>
                  <w:r/>
                </w:p>
                <w:p>
                  <w:pPr>
                    <w:pStyle w:val="937"/>
                    <w:ind w:firstLine="420"/>
                    <w:jc w:val="left"/>
                    <w:spacing w:line="360" w:lineRule="auto"/>
                    <w:rPr>
                      <w:rFonts w:ascii="宋体" w:hAnsi="宋体" w:eastAsia="宋体" w:cs="宋体"/>
                      <w:szCs w:val="21"/>
                    </w:rPr>
                  </w:pPr>
                  <w:r>
                    <w:rPr>
                      <w:rFonts w:ascii="宋体" w:hAnsi="宋体" w:eastAsia="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-60959</wp:posOffset>
                            </wp:positionH>
                            <wp:positionV relativeFrom="paragraph">
                              <wp:posOffset>55880</wp:posOffset>
                            </wp:positionV>
                            <wp:extent cx="1717675" cy="68516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717675" cy="6851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4.8pt,4.4pt" to="130.5pt,58.3pt" filled="f" strokecolor="#000000"/>
                        </w:pict>
                      </mc:Fallback>
                    </mc:AlternateContent>
                  </w:r>
                  <w:r>
                    <w:rPr>
                      <w:rFonts w:hint="eastAsia" w:ascii="宋体" w:hAnsi="宋体" w:eastAsia="宋体" w:cs="宋体"/>
                      <w:szCs w:val="21"/>
                    </w:rPr>
                    <w:t xml:space="preserve">　</w:t>
                  </w:r>
                  <w:r>
                    <w:rPr>
                      <w:rFonts w:ascii="宋体" w:hAnsi="宋体" w:eastAsia="宋体" w:cs="宋体"/>
                      <w:szCs w:val="21"/>
                    </w:rPr>
                  </w:r>
                  <w:r/>
                </w:p>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rPr>
                  </w:r>
                  <w:r/>
                </w:p>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中标金额（万元）</w:t>
                  </w:r>
                  <w:r>
                    <w:rPr>
                      <w:rFonts w:ascii="宋体" w:hAnsi="宋体" w:eastAsia="宋体" w:cs="宋体"/>
                      <w:szCs w:val="21"/>
                    </w:rPr>
                  </w:r>
                  <w:r/>
                </w:p>
              </w:tc>
              <w:tc>
                <w:tcPr>
                  <w:tcW w:w="2410" w:type="dxa"/>
                  <w:vAlign w:val="center"/>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工程类</w:t>
                  </w:r>
                  <w:r>
                    <w:rPr>
                      <w:rFonts w:ascii="宋体" w:hAnsi="宋体" w:eastAsia="宋体" w:cs="宋体"/>
                      <w:szCs w:val="21"/>
                    </w:rPr>
                  </w:r>
                  <w:r/>
                </w:p>
              </w:tc>
            </w:tr>
            <w:tr>
              <w:trPr/>
              <w:tc>
                <w:tcPr>
                  <w:tcW w:w="2744" w:type="dxa"/>
                  <w:vAlign w:val="top"/>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100（含，下同）以下</w:t>
                  </w:r>
                  <w:r>
                    <w:rPr>
                      <w:rFonts w:ascii="宋体" w:hAnsi="宋体" w:eastAsia="宋体" w:cs="宋体"/>
                      <w:szCs w:val="21"/>
                    </w:rPr>
                  </w:r>
                  <w:r/>
                </w:p>
              </w:tc>
              <w:tc>
                <w:tcPr>
                  <w:tcW w:w="2410" w:type="dxa"/>
                  <w:vAlign w:val="top"/>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1.0%</w:t>
                  </w:r>
                  <w:r>
                    <w:rPr>
                      <w:rFonts w:ascii="宋体" w:hAnsi="宋体" w:eastAsia="宋体" w:cs="宋体"/>
                      <w:szCs w:val="21"/>
                    </w:rPr>
                  </w:r>
                  <w:r/>
                </w:p>
              </w:tc>
            </w:tr>
            <w:tr>
              <w:trPr/>
              <w:tc>
                <w:tcPr>
                  <w:tcW w:w="2744" w:type="dxa"/>
                  <w:vAlign w:val="top"/>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100-500</w:t>
                  </w:r>
                  <w:r>
                    <w:rPr>
                      <w:rFonts w:ascii="宋体" w:hAnsi="宋体" w:eastAsia="宋体" w:cs="宋体"/>
                      <w:szCs w:val="21"/>
                    </w:rPr>
                  </w:r>
                  <w:r/>
                </w:p>
              </w:tc>
              <w:tc>
                <w:tcPr>
                  <w:tcW w:w="2410" w:type="dxa"/>
                  <w:vAlign w:val="top"/>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rPr>
                    <w:t xml:space="preserve">0.7%</w:t>
                  </w:r>
                  <w:r>
                    <w:rPr>
                      <w:rFonts w:ascii="宋体" w:hAnsi="宋体" w:eastAsia="宋体" w:cs="宋体"/>
                      <w:szCs w:val="21"/>
                    </w:rPr>
                  </w:r>
                  <w:r/>
                </w:p>
              </w:tc>
            </w:tr>
            <w:tr>
              <w:trPr/>
              <w:tc>
                <w:tcPr>
                  <w:tcW w:w="2744" w:type="dxa"/>
                  <w:vAlign w:val="top"/>
                  <w:textDirection w:val="lrTb"/>
                  <w:noWrap w:val="false"/>
                </w:tcPr>
                <w:p>
                  <w:pPr>
                    <w:pStyle w:val="937"/>
                    <w:ind w:firstLine="420"/>
                    <w:jc w:val="left"/>
                    <w:spacing w:line="360" w:lineRule="auto"/>
                    <w:rPr>
                      <w:rFonts w:ascii="宋体" w:hAnsi="宋体" w:eastAsia="宋体" w:cs="宋体"/>
                      <w:szCs w:val="21"/>
                      <w:lang w:val="en-US" w:eastAsia="zh-CN"/>
                    </w:rPr>
                  </w:pPr>
                  <w:r>
                    <w:rPr>
                      <w:rFonts w:hint="eastAsia" w:ascii="宋体" w:hAnsi="宋体" w:eastAsia="宋体" w:cs="宋体"/>
                      <w:szCs w:val="21"/>
                      <w:lang w:val="en-US" w:eastAsia="zh-CN"/>
                    </w:rPr>
                    <w:t xml:space="preserve">500-1000</w:t>
                  </w:r>
                  <w:r>
                    <w:rPr>
                      <w:rFonts w:ascii="宋体" w:hAnsi="宋体" w:eastAsia="宋体" w:cs="宋体"/>
                      <w:szCs w:val="21"/>
                      <w:lang w:val="en-US" w:eastAsia="zh-CN"/>
                    </w:rPr>
                  </w:r>
                  <w:r/>
                </w:p>
              </w:tc>
              <w:tc>
                <w:tcPr>
                  <w:tcW w:w="2410" w:type="dxa"/>
                  <w:vAlign w:val="top"/>
                  <w:textDirection w:val="lrTb"/>
                  <w:noWrap w:val="false"/>
                </w:tcPr>
                <w:p>
                  <w:pPr>
                    <w:pStyle w:val="937"/>
                    <w:ind w:firstLine="420"/>
                    <w:jc w:val="left"/>
                    <w:spacing w:line="360" w:lineRule="auto"/>
                    <w:rPr>
                      <w:rFonts w:ascii="宋体" w:hAnsi="宋体" w:eastAsia="宋体" w:cs="宋体"/>
                      <w:szCs w:val="21"/>
                    </w:rPr>
                  </w:pPr>
                  <w:r>
                    <w:rPr>
                      <w:rFonts w:hint="eastAsia" w:ascii="宋体" w:hAnsi="宋体" w:eastAsia="宋体" w:cs="宋体"/>
                      <w:szCs w:val="21"/>
                      <w:lang w:val="en-US" w:eastAsia="zh-CN"/>
                    </w:rPr>
                    <w:t xml:space="preserve">0.55</w:t>
                  </w:r>
                  <w:r>
                    <w:rPr>
                      <w:rFonts w:hint="eastAsia" w:ascii="宋体" w:hAnsi="宋体" w:eastAsia="宋体" w:cs="宋体"/>
                      <w:szCs w:val="21"/>
                    </w:rPr>
                    <w:t xml:space="preserve">%</w:t>
                  </w:r>
                  <w:r>
                    <w:rPr>
                      <w:rFonts w:ascii="宋体" w:hAnsi="宋体" w:eastAsia="宋体" w:cs="宋体"/>
                      <w:szCs w:val="21"/>
                    </w:rPr>
                  </w:r>
                  <w:r/>
                </w:p>
              </w:tc>
            </w:tr>
            <w:tr>
              <w:trPr/>
              <w:tc>
                <w:tcPr>
                  <w:tcW w:w="2744" w:type="dxa"/>
                  <w:vAlign w:val="top"/>
                  <w:textDirection w:val="lrTb"/>
                  <w:noWrap w:val="false"/>
                </w:tcPr>
                <w:p>
                  <w:pPr>
                    <w:pStyle w:val="937"/>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c>
                <w:tcPr>
                  <w:tcW w:w="2410" w:type="dxa"/>
                  <w:vAlign w:val="top"/>
                  <w:textDirection w:val="lrTb"/>
                  <w:noWrap w:val="false"/>
                </w:tcPr>
                <w:p>
                  <w:pPr>
                    <w:pStyle w:val="937"/>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r>
                  <w:r/>
                </w:p>
              </w:tc>
            </w:tr>
          </w:tbl>
          <w:p>
            <w:pPr>
              <w:pStyle w:val="937"/>
              <w:spacing w:line="360" w:lineRule="auto"/>
              <w:rPr>
                <w:rFonts w:hint="eastAsia"/>
              </w:rPr>
            </w:pPr>
            <w:r>
              <w:rPr>
                <w:rFonts w:hint="eastAsia" w:ascii="宋体" w:hAnsi="宋体" w:cs="宋体"/>
                <w:bCs/>
                <w:spacing w:val="2"/>
                <w:sz w:val="24"/>
              </w:rPr>
              <w:t xml:space="preserve">收费标准：</w:t>
            </w:r>
            <w:r>
              <w:rPr>
                <w:rFonts w:hint="eastAsia"/>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ind w:firstLine="1464"/>
              <w:spacing w:line="360" w:lineRule="auto"/>
              <w:rPr>
                <w:rFonts w:hint="eastAsia" w:ascii="宋体" w:hAnsi="宋体" w:cs="宋体"/>
                <w:bCs/>
                <w:spacing w:val="2"/>
                <w:sz w:val="24"/>
              </w:rPr>
            </w:pP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1、代理服务收费按差额定率累进法计算。  </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2、服务收费按上述计算方法不足人民币3000元的，按人民币3000元收取。</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lang w:val="en-US" w:eastAsia="zh-CN"/>
              </w:rPr>
              <w:t xml:space="preserve">3</w:t>
            </w:r>
            <w:r>
              <w:rPr>
                <w:rFonts w:hint="eastAsia" w:ascii="宋体" w:hAnsi="宋体" w:cs="宋体"/>
                <w:bCs/>
                <w:spacing w:val="2"/>
                <w:sz w:val="24"/>
              </w:rPr>
              <w:t xml:space="preserve">、缴纳时间：领取成交通知书时缴纳。</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lang w:val="en-US" w:eastAsia="zh-CN"/>
              </w:rPr>
              <w:t xml:space="preserve">4</w:t>
            </w:r>
            <w:r>
              <w:rPr>
                <w:rFonts w:hint="eastAsia" w:ascii="宋体" w:hAnsi="宋体" w:cs="宋体"/>
                <w:bCs/>
                <w:spacing w:val="2"/>
                <w:sz w:val="24"/>
              </w:rPr>
              <w:t xml:space="preserve">、缴纳方式：</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收款人名称：常州正衡招投标有限公司</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开户行名称：招商银行常州北大街支行</w:t>
            </w:r>
            <w:r>
              <w:rPr>
                <w:rFonts w:hint="eastAsia" w:ascii="宋体" w:hAnsi="宋体" w:cs="宋体"/>
                <w:bCs/>
                <w:spacing w:val="2"/>
                <w:sz w:val="24"/>
              </w:rPr>
            </w:r>
            <w:r/>
          </w:p>
          <w:p>
            <w:pPr>
              <w:pStyle w:val="937"/>
              <w:spacing w:line="360" w:lineRule="auto"/>
              <w:rPr>
                <w:rFonts w:hint="eastAsia" w:ascii="宋体" w:hAnsi="宋体" w:cs="宋体"/>
                <w:bCs/>
                <w:spacing w:val="2"/>
                <w:sz w:val="24"/>
              </w:rPr>
            </w:pPr>
            <w:r>
              <w:rPr>
                <w:rFonts w:hint="eastAsia" w:ascii="宋体" w:hAnsi="宋体" w:cs="宋体"/>
                <w:bCs/>
                <w:spacing w:val="2"/>
                <w:sz w:val="24"/>
              </w:rPr>
              <w:t xml:space="preserve">银行账号：519902981310901</w:t>
            </w:r>
            <w:r>
              <w:rPr>
                <w:rFonts w:hint="eastAsia" w:ascii="宋体" w:hAnsi="宋体" w:cs="宋体"/>
                <w:bCs/>
                <w:spacing w:val="2"/>
                <w:sz w:val="24"/>
              </w:rPr>
            </w:r>
            <w:r/>
          </w:p>
          <w:p>
            <w:pPr>
              <w:pStyle w:val="999"/>
              <w:spacing w:before="0" w:beforeAutospacing="0" w:after="0" w:afterAutospacing="0"/>
              <w:shd w:val="clear" w:color="auto" w:fill="ffffff"/>
              <w:rPr>
                <w:color w:val="000000"/>
                <w:sz w:val="24"/>
                <w:highlight w:val="none"/>
              </w:rPr>
            </w:pPr>
            <w:r>
              <w:rPr>
                <w:rFonts w:hint="eastAsia" w:ascii="宋体" w:hAnsi="宋体" w:cs="宋体"/>
                <w:bCs/>
                <w:spacing w:val="2"/>
                <w:sz w:val="24"/>
              </w:rPr>
              <w:t xml:space="preserve">支付宝账号：3415909493@qq.com（备注单位名称及项目名称）</w:t>
            </w:r>
            <w:r>
              <w:rPr>
                <w:color w:val="000000"/>
                <w:sz w:val="24"/>
                <w:highlight w:val="none"/>
              </w:rPr>
            </w:r>
            <w:r/>
          </w:p>
        </w:tc>
      </w:tr>
    </w:tbl>
    <w:p>
      <w:pPr>
        <w:pStyle w:val="937"/>
        <w:jc w:val="both"/>
        <w:spacing w:line="360" w:lineRule="auto"/>
        <w:tabs>
          <w:tab w:val="left" w:pos="5580" w:leader="none"/>
        </w:tabs>
        <w:rPr>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sz w:val="24"/>
          <w:highlight w:val="none"/>
        </w:rPr>
      </w:r>
      <w:r/>
    </w:p>
    <w:p>
      <w:pPr>
        <w:pStyle w:val="937"/>
        <w:jc w:val="center"/>
        <w:spacing w:before="240" w:after="240"/>
        <w:rPr>
          <w:b/>
          <w:color w:val="000000"/>
          <w:sz w:val="28"/>
          <w:szCs w:val="28"/>
          <w:highlight w:val="none"/>
        </w:rPr>
      </w:pPr>
      <w:r>
        <w:rPr>
          <w:b/>
          <w:color w:val="000000"/>
          <w:sz w:val="28"/>
          <w:szCs w:val="28"/>
          <w:highlight w:val="none"/>
        </w:rPr>
        <w:t xml:space="preserve">供应商须知</w:t>
      </w:r>
      <w:r>
        <w:rPr>
          <w:b/>
          <w:color w:val="000000"/>
          <w:sz w:val="28"/>
          <w:szCs w:val="28"/>
          <w:highlight w:val="none"/>
        </w:rPr>
      </w:r>
      <w:r/>
    </w:p>
    <w:p>
      <w:pPr>
        <w:pStyle w:val="939"/>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2" w:name="_Toc520356143"/>
      <w:r/>
      <w:bookmarkStart w:id="53" w:name="_Toc127151518"/>
      <w:r>
        <w:rPr>
          <w:rFonts w:ascii="Times New Roman" w:hAnsi="Times New Roman" w:eastAsia="宋体"/>
          <w:color w:val="000000"/>
          <w:sz w:val="28"/>
          <w:highlight w:val="none"/>
        </w:rPr>
        <w:tab/>
      </w:r>
      <w:bookmarkStart w:id="54" w:name="_Toc265228356"/>
      <w:r/>
      <w:bookmarkStart w:id="55" w:name="_Toc151193760"/>
      <w:r/>
      <w:bookmarkStart w:id="56" w:name="_Toc305158860"/>
      <w:r/>
      <w:bookmarkStart w:id="57" w:name="_Toc195842883"/>
      <w:r/>
      <w:bookmarkStart w:id="58" w:name="_Toc264969208"/>
      <w:r/>
      <w:bookmarkStart w:id="59" w:name="_Toc151193616"/>
      <w:r/>
      <w:bookmarkStart w:id="60" w:name="_Toc142311020"/>
      <w:r/>
      <w:bookmarkStart w:id="61" w:name="_Toc226965791"/>
      <w:r/>
      <w:bookmarkStart w:id="62" w:name="_Toc226965708"/>
      <w:r/>
      <w:bookmarkStart w:id="63" w:name="_Toc226337214"/>
      <w:r/>
      <w:bookmarkStart w:id="64" w:name="_Toc151193832"/>
      <w:r/>
      <w:bookmarkStart w:id="65" w:name="_Toc150774618"/>
      <w:r/>
      <w:bookmarkStart w:id="66" w:name="_Toc151190145"/>
      <w:r/>
      <w:bookmarkStart w:id="67" w:name="_Toc150480756"/>
      <w:r/>
      <w:bookmarkStart w:id="68" w:name="_Toc150509269"/>
      <w:r/>
      <w:bookmarkStart w:id="69" w:name="_Toc150774723"/>
      <w:r/>
      <w:bookmarkStart w:id="70" w:name="_Toc226309762"/>
      <w:r/>
      <w:bookmarkStart w:id="71" w:name="_Toc151193688"/>
      <w:r/>
      <w:bookmarkStart w:id="72" w:name="_Toc305158786"/>
      <w:r/>
      <w:bookmarkStart w:id="73" w:name="_Toc151193906"/>
      <w:r>
        <w:rPr>
          <w:rFonts w:ascii="Times New Roman" w:hAnsi="Times New Roman" w:eastAsia="宋体"/>
          <w:color w:val="000000"/>
          <w:sz w:val="28"/>
          <w:highlight w:val="none"/>
        </w:rPr>
        <w:t xml:space="preserve">一   说  明</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s>
        <w:rPr>
          <w:color w:val="000000"/>
          <w:sz w:val="24"/>
          <w:highlight w:val="none"/>
        </w:rPr>
        <w:outlineLvl w:val="1"/>
      </w:pPr>
      <w:r/>
      <w:bookmarkStart w:id="74" w:name="_Toc305158861"/>
      <w:r/>
      <w:bookmarkStart w:id="75" w:name="_Toc264969209"/>
      <w:r/>
      <w:bookmarkStart w:id="76" w:name="_Toc265228357"/>
      <w:r/>
      <w:bookmarkStart w:id="77" w:name="_Toc305158787"/>
      <w:r>
        <w:rPr>
          <w:color w:val="000000"/>
          <w:sz w:val="24"/>
          <w:highlight w:val="none"/>
        </w:rPr>
        <w:t xml:space="preserve">采购人、采购代理机构、供应商</w:t>
      </w:r>
      <w:bookmarkEnd w:id="74"/>
      <w:r/>
      <w:bookmarkEnd w:id="75"/>
      <w:r/>
      <w:bookmarkEnd w:id="76"/>
      <w:r/>
      <w:bookmarkEnd w:id="77"/>
      <w:r>
        <w:rPr>
          <w:color w:val="000000"/>
          <w:sz w:val="24"/>
          <w:highlight w:val="none"/>
        </w:rPr>
        <w:t xml:space="preserve">、联合体</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供应商（也称“申请人”）：指向采购人提供货物、工程或者服务的法人、其他组织或者自然人。</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937"/>
        <w:numPr>
          <w:ilvl w:val="0"/>
          <w:numId w:val="8"/>
        </w:numPr>
        <w:ind w:left="357" w:hanging="357"/>
        <w:spacing w:line="360" w:lineRule="auto"/>
        <w:tabs>
          <w:tab w:val="left" w:pos="360" w:leader="none"/>
        </w:tabs>
        <w:rPr>
          <w:color w:val="000000"/>
          <w:sz w:val="24"/>
          <w:highlight w:val="none"/>
        </w:rPr>
        <w:outlineLvl w:val="1"/>
      </w:pPr>
      <w:r/>
      <w:bookmarkStart w:id="78" w:name="_Toc151193690"/>
      <w:r/>
      <w:bookmarkStart w:id="79" w:name="_Toc150774725"/>
      <w:r/>
      <w:bookmarkStart w:id="80" w:name="_Toc164229361"/>
      <w:r/>
      <w:bookmarkStart w:id="81" w:name="_Toc151193762"/>
      <w:r/>
      <w:bookmarkStart w:id="82" w:name="_Toc226337216"/>
      <w:r/>
      <w:bookmarkStart w:id="83" w:name="_Toc265228358"/>
      <w:r/>
      <w:bookmarkStart w:id="84" w:name="_Toc150509271"/>
      <w:r/>
      <w:bookmarkStart w:id="85" w:name="_Toc127151721"/>
      <w:r/>
      <w:bookmarkStart w:id="86" w:name="_Toc151193618"/>
      <w:r/>
      <w:bookmarkStart w:id="87" w:name="_Toc127161434"/>
      <w:r/>
      <w:bookmarkStart w:id="88" w:name="_Toc264969210"/>
      <w:r/>
      <w:bookmarkStart w:id="89" w:name="_Toc150774620"/>
      <w:r/>
      <w:bookmarkStart w:id="90" w:name="_Toc142311022"/>
      <w:r/>
      <w:bookmarkStart w:id="91" w:name="_Toc151190147"/>
      <w:r/>
      <w:bookmarkStart w:id="92" w:name="_Toc226965793"/>
      <w:r/>
      <w:bookmarkStart w:id="93" w:name="_Toc164608789"/>
      <w:r/>
      <w:bookmarkStart w:id="94" w:name="_Toc164351614"/>
      <w:r/>
      <w:bookmarkStart w:id="95" w:name="_Toc150480758"/>
      <w:r/>
      <w:bookmarkStart w:id="96" w:name="_Toc127151520"/>
      <w:r/>
      <w:bookmarkStart w:id="97" w:name="_Toc164229215"/>
      <w:r/>
      <w:bookmarkStart w:id="98" w:name="_Toc151193834"/>
      <w:r/>
      <w:bookmarkStart w:id="99" w:name="_Toc305158862"/>
      <w:r/>
      <w:bookmarkStart w:id="100" w:name="_Toc226309764"/>
      <w:r/>
      <w:bookmarkStart w:id="101" w:name="_Toc149720813"/>
      <w:r/>
      <w:bookmarkStart w:id="102" w:name="_Toc195842885"/>
      <w:r/>
      <w:bookmarkStart w:id="103" w:name="_Toc164608634"/>
      <w:r/>
      <w:bookmarkStart w:id="104" w:name="_Toc305158788"/>
      <w:r/>
      <w:bookmarkStart w:id="105" w:name="_Toc151193908"/>
      <w:r/>
      <w:bookmarkStart w:id="106" w:name="_Toc226965710"/>
      <w:r>
        <w:rPr>
          <w:color w:val="000000"/>
          <w:sz w:val="24"/>
          <w:highlight w:val="none"/>
        </w:rPr>
        <w:t xml:space="preserve">资金来源</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color w:val="000000"/>
          <w:sz w:val="24"/>
          <w:highlight w:val="none"/>
        </w:rPr>
        <w:t xml:space="preserve">、项目属性、科研仪器设备采购</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项目属性见《供应商须知资料表》。</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是否属于科研仪器设备采购见《供应商须知资料表》。</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现场考察、磋商前答疑会</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若《供应商须知资料表》中规定了组织现场考察、召开磋商前答疑会，则供应商应按要求在规定的时间和地点参加。</w:t>
      </w:r>
      <w:bookmarkStart w:id="107" w:name="_Toc151193692"/>
      <w:r/>
      <w:bookmarkStart w:id="108" w:name="_Toc151193620"/>
      <w:r/>
      <w:bookmarkStart w:id="109" w:name="_Toc305158790"/>
      <w:r/>
      <w:bookmarkStart w:id="110" w:name="_Toc150774727"/>
      <w:r/>
      <w:bookmarkStart w:id="111" w:name="_Toc151193764"/>
      <w:r/>
      <w:bookmarkStart w:id="112" w:name="_Toc150774622"/>
      <w:r/>
      <w:bookmarkStart w:id="113" w:name="_Toc226309766"/>
      <w:r/>
      <w:bookmarkStart w:id="114" w:name="_Toc226965795"/>
      <w:r/>
      <w:bookmarkStart w:id="115" w:name="_Toc226965712"/>
      <w:r/>
      <w:bookmarkStart w:id="116" w:name="_Toc520356146"/>
      <w:r/>
      <w:bookmarkStart w:id="117" w:name="_Toc150509273"/>
      <w:r/>
      <w:bookmarkStart w:id="118" w:name="_Toc265228360"/>
      <w:r/>
      <w:bookmarkStart w:id="119" w:name="_Toc226337218"/>
      <w:r/>
      <w:bookmarkStart w:id="120" w:name="_Toc305158864"/>
      <w:r/>
      <w:bookmarkStart w:id="121" w:name="_Toc151193910"/>
      <w:r/>
      <w:bookmarkStart w:id="122" w:name="_Toc127151522"/>
      <w:r/>
      <w:bookmarkStart w:id="123" w:name="_Toc142311024"/>
      <w:r/>
      <w:bookmarkStart w:id="124" w:name="_Toc264969212"/>
      <w:r/>
      <w:bookmarkStart w:id="125" w:name="_Toc151193836"/>
      <w:r/>
      <w:bookmarkStart w:id="126" w:name="_Toc195842887"/>
      <w:r/>
      <w:bookmarkStart w:id="127" w:name="_Toc151190149"/>
      <w:r/>
      <w:bookmarkStart w:id="128" w:name="_Toc150480760"/>
      <w:r>
        <w:rPr>
          <w:color w:val="000000"/>
          <w:sz w:val="28"/>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sz w:val="24"/>
          <w:highlight w:val="none"/>
        </w:rPr>
      </w:r>
      <w:r/>
    </w:p>
    <w:p>
      <w:pPr>
        <w:pStyle w:val="937"/>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937"/>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10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937"/>
        <w:ind w:left="2835"/>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937"/>
        <w:ind w:left="2835"/>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937"/>
        <w:ind w:left="2835"/>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（3）在服务采购项目中，服务由中小企业承接，即提供服务的人员为中小企业依照《中华人民共和国劳动合同法》订立劳动合同的从业人员。</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b/>
          <w:bCs/>
          <w:color w:val="000000"/>
          <w:sz w:val="24"/>
          <w:highlight w:val="none"/>
        </w:rPr>
      </w:pPr>
      <w:r>
        <w:rPr>
          <w:b/>
          <w:bCs/>
          <w:color w:val="000000"/>
          <w:sz w:val="24"/>
          <w:highlight w:val="none"/>
        </w:rPr>
        <w:t xml:space="preserve">在货物采购项目中，供应商提供的货物既有中小企业制造货物，也有大型企业制造货物的，不享受中小企业扶持政策。</w:t>
      </w:r>
      <w:r>
        <w:rPr>
          <w:b/>
          <w:bCs/>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1035"/>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highlight w:val="none"/>
        </w:rPr>
      </w:pPr>
      <w:r>
        <w:rPr>
          <w:rFonts w:ascii="Times New Roman" w:hAnsi="Times New Roman"/>
          <w:vanish/>
          <w:color w:val="000000"/>
          <w:sz w:val="24"/>
          <w:szCs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937"/>
        <w:numPr>
          <w:ilvl w:val="3"/>
          <w:numId w:val="9"/>
        </w:numPr>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本项目是否专门面向中小企业预留采购份额见第一章《采购</w:t>
      </w:r>
      <w:r>
        <w:rPr>
          <w:rFonts w:hint="eastAsia"/>
          <w:color w:val="000000"/>
          <w:sz w:val="24"/>
          <w:highlight w:val="none"/>
        </w:rPr>
        <w:t xml:space="preserve">公告</w:t>
      </w:r>
      <w:r>
        <w:rPr>
          <w:color w:val="000000"/>
          <w:sz w:val="24"/>
          <w:highlight w:val="none"/>
        </w:rPr>
        <w:t xml:space="preserve">》。</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采购标的对应的中小企业划分标准所属行业见《供应商须知资料表》。</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小微企业价格评审优惠的政策调整：见第三章《评审方法和评审标准》。</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937"/>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37"/>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37"/>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937"/>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937"/>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93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937"/>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937"/>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937"/>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37"/>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37"/>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37"/>
        <w:numPr>
          <w:ilvl w:val="2"/>
          <w:numId w:val="8"/>
        </w:numPr>
        <w:spacing w:line="360" w:lineRule="auto"/>
        <w:tabs>
          <w:tab w:val="left" w:pos="1980" w:leader="none"/>
          <w:tab w:val="left" w:pos="2014" w:leader="none"/>
        </w:tabs>
        <w:rPr>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 w:val="24"/>
        </w:rPr>
      </w:r>
      <w:r/>
    </w:p>
    <w:p>
      <w:pPr>
        <w:pStyle w:val="937"/>
        <w:ind w:firstLine="240"/>
        <w:spacing w:line="360" w:lineRule="auto"/>
        <w:tabs>
          <w:tab w:val="left" w:pos="2014" w:leader="none"/>
        </w:tabs>
        <w:rPr>
          <w:sz w:val="24"/>
        </w:rPr>
      </w:pPr>
      <w:r>
        <w:rPr>
          <w:sz w:val="24"/>
        </w:rPr>
        <w:t xml:space="preserve">4.7  </w:t>
      </w:r>
      <w:r>
        <w:rPr>
          <w:rFonts w:hint="eastAsia"/>
          <w:sz w:val="24"/>
        </w:rPr>
        <w:t xml:space="preserve">绿色采购政策</w:t>
      </w:r>
      <w:r>
        <w:rPr>
          <w:sz w:val="24"/>
        </w:rPr>
      </w:r>
      <w:r/>
    </w:p>
    <w:p>
      <w:pPr>
        <w:pStyle w:val="937"/>
        <w:ind w:firstLine="482"/>
        <w:spacing w:line="480" w:lineRule="exact"/>
        <w:rPr>
          <w:rFonts w:ascii="宋体" w:hAnsi="宋体"/>
          <w:b/>
          <w:sz w:val="24"/>
        </w:rPr>
      </w:pPr>
      <w:r>
        <w:rPr>
          <w:sz w:val="24"/>
        </w:rPr>
        <w:t xml:space="preserve">4.7.1  </w:t>
      </w:r>
      <w:r>
        <w:rPr>
          <w:rFonts w:hint="eastAsia" w:ascii="宋体" w:hAnsi="宋体"/>
          <w:b/>
          <w:sz w:val="24"/>
        </w:rPr>
        <w:t xml:space="preserve">绿色数据中心政策 </w:t>
      </w:r>
      <w:r>
        <w:rPr>
          <w:rFonts w:ascii="宋体" w:hAnsi="宋体"/>
          <w:b/>
          <w:sz w:val="24"/>
        </w:rPr>
      </w:r>
      <w:r/>
    </w:p>
    <w:p>
      <w:pPr>
        <w:pStyle w:val="937"/>
        <w:ind w:left="1197"/>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37"/>
        <w:ind w:firstLine="48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937"/>
        <w:ind w:left="1197"/>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2023</w:t>
      </w:r>
      <w:r>
        <w:rPr>
          <w:rFonts w:hint="eastAsia"/>
          <w:sz w:val="24"/>
        </w:rPr>
        <w:t xml:space="preserve">〕</w:t>
      </w:r>
      <w:r>
        <w:rPr>
          <w:sz w:val="24"/>
        </w:rPr>
        <w:t xml:space="preserve">18 </w:t>
      </w:r>
      <w:r>
        <w:rPr>
          <w:rFonts w:hint="eastAsia"/>
          <w:sz w:val="24"/>
        </w:rPr>
        <w:t xml:space="preserve">号</w:t>
      </w:r>
      <w:r>
        <w:rPr>
          <w:rFonts w:hint="eastAsia" w:ascii="宋体" w:hAnsi="宋体"/>
          <w:sz w:val="24"/>
        </w:rPr>
        <w:t xml:space="preserve">）总体要求，落实《绿色建筑和绿色建材政府采购需求标准》（</w:t>
      </w:r>
      <w:r>
        <w:rPr>
          <w:rFonts w:hint="eastAsia"/>
          <w:sz w:val="24"/>
        </w:rPr>
        <w:t xml:space="preserve">财库〔</w:t>
      </w:r>
      <w:r>
        <w:rPr>
          <w:sz w:val="24"/>
        </w:rPr>
        <w:t xml:space="preserve">2022</w:t>
      </w:r>
      <w:r>
        <w:rPr>
          <w:rFonts w:hint="eastAsia"/>
          <w:sz w:val="24"/>
        </w:rPr>
        <w:t xml:space="preserve">〕</w:t>
      </w:r>
      <w:r>
        <w:rPr>
          <w:sz w:val="24"/>
        </w:rPr>
        <w:t xml:space="preserve">35 </w:t>
      </w:r>
      <w:r>
        <w:rPr>
          <w:rFonts w:hint="eastAsia"/>
          <w:sz w:val="24"/>
        </w:rPr>
        <w:t xml:space="preserve">号</w:t>
      </w:r>
      <w:r>
        <w:rPr>
          <w:rFonts w:hint="eastAsia" w:ascii="宋体" w:hAnsi="宋体"/>
          <w:sz w:val="24"/>
        </w:rPr>
        <w:t xml:space="preserve">）和《政府采购支持绿色建材促进建筑品质提升政策项目实施指南》（财办库</w:t>
      </w:r>
      <w:r>
        <w:rPr>
          <w:rFonts w:hint="eastAsia"/>
          <w:sz w:val="24"/>
        </w:rPr>
        <w:t xml:space="preserve">〔</w:t>
      </w:r>
      <w:r>
        <w:rPr>
          <w:sz w:val="24"/>
        </w:rPr>
        <w:t xml:space="preserve">2023</w:t>
      </w:r>
      <w:r>
        <w:rPr>
          <w:rFonts w:hint="eastAsia"/>
          <w:sz w:val="24"/>
        </w:rPr>
        <w:t xml:space="preserve">〕</w:t>
      </w:r>
      <w:r>
        <w:rPr>
          <w:sz w:val="24"/>
        </w:rPr>
        <w:t xml:space="preserve">52 </w:t>
      </w:r>
      <w:r>
        <w:rPr>
          <w:rFonts w:hint="eastAsia"/>
          <w:sz w:val="24"/>
        </w:rPr>
        <w:t xml:space="preserve">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37"/>
        <w:ind w:firstLine="480"/>
        <w:spacing w:line="480" w:lineRule="exact"/>
        <w:rPr>
          <w:rFonts w:ascii="宋体" w:hAnsi="宋体"/>
          <w:sz w:val="24"/>
        </w:rPr>
      </w:pPr>
      <w:r>
        <w:rPr>
          <w:rFonts w:hint="eastAsia" w:ascii="宋体" w:hAnsi="宋体"/>
          <w:sz w:val="24"/>
        </w:rPr>
        <w:t xml:space="preserve">4.7.3 优先使用低挥发性有机化合物产品</w:t>
      </w:r>
      <w:r>
        <w:rPr>
          <w:rFonts w:ascii="宋体" w:hAnsi="宋体"/>
          <w:sz w:val="24"/>
        </w:rPr>
      </w:r>
      <w:r/>
    </w:p>
    <w:p>
      <w:pPr>
        <w:pStyle w:val="937"/>
        <w:ind w:left="1079" w:hanging="600"/>
        <w:spacing w:line="480" w:lineRule="exact"/>
        <w:rPr>
          <w:rFonts w:ascii="宋体" w:hAnsi="宋体"/>
          <w:sz w:val="24"/>
        </w:rPr>
      </w:pPr>
      <w:r>
        <w:rPr>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ascii="宋体" w:hAnsi="宋体"/>
          <w:sz w:val="24"/>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响应费用</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供应商应自行承担所有与准备和参加磋商有关的费用，无论磋商的结果如何，采购人或采购代理机构在任何情况下均无承担这些费用的义务和责任。</w:t>
      </w:r>
      <w:r>
        <w:rPr>
          <w:color w:val="000000"/>
          <w:sz w:val="24"/>
          <w:highlight w:val="none"/>
        </w:rPr>
      </w:r>
      <w:r/>
    </w:p>
    <w:p>
      <w:pPr>
        <w:pStyle w:val="937"/>
        <w:ind w:left="1080"/>
        <w:spacing w:line="360" w:lineRule="auto"/>
        <w:tabs>
          <w:tab w:val="left" w:pos="1080" w:leader="none"/>
        </w:tabs>
        <w:rPr>
          <w:color w:val="000000"/>
          <w:sz w:val="28"/>
          <w:highlight w:val="none"/>
        </w:rPr>
      </w:pPr>
      <w:r/>
      <w:bookmarkStart w:id="129" w:name="_1.8_计量单位"/>
      <w:r/>
      <w:bookmarkEnd w:id="129"/>
      <w:r>
        <w:rPr>
          <w:color w:val="000000"/>
          <w:sz w:val="28"/>
          <w:highlight w:val="none"/>
        </w:rPr>
      </w:r>
      <w:r/>
    </w:p>
    <w:p>
      <w:pPr>
        <w:pStyle w:val="93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竞争性磋商文件</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30" w:name="_Toc164608637"/>
      <w:r/>
      <w:bookmarkStart w:id="131" w:name="_Toc226337219"/>
      <w:r/>
      <w:bookmarkStart w:id="132" w:name="_Toc151193765"/>
      <w:r/>
      <w:bookmarkStart w:id="133" w:name="_Toc520356147"/>
      <w:r/>
      <w:bookmarkStart w:id="134" w:name="_Toc265228361"/>
      <w:r/>
      <w:bookmarkStart w:id="135" w:name="_Toc164229218"/>
      <w:r/>
      <w:bookmarkStart w:id="136" w:name="_Toc151193911"/>
      <w:r/>
      <w:bookmarkStart w:id="137" w:name="_Toc142311025"/>
      <w:r/>
      <w:bookmarkStart w:id="138" w:name="_Toc226309767"/>
      <w:r/>
      <w:bookmarkStart w:id="139" w:name="_Toc150509274"/>
      <w:r/>
      <w:bookmarkStart w:id="140" w:name="_Toc164229364"/>
      <w:r/>
      <w:bookmarkStart w:id="141" w:name="_Toc226965713"/>
      <w:r/>
      <w:bookmarkStart w:id="142" w:name="_Toc195842888"/>
      <w:r/>
      <w:bookmarkStart w:id="143" w:name="_Toc150774728"/>
      <w:r/>
      <w:bookmarkStart w:id="144" w:name="_Toc150774623"/>
      <w:r/>
      <w:bookmarkStart w:id="145" w:name="_Toc127151724"/>
      <w:r/>
      <w:bookmarkStart w:id="146" w:name="_Toc127161437"/>
      <w:r/>
      <w:bookmarkStart w:id="147" w:name="_Toc164351617"/>
      <w:r/>
      <w:bookmarkStart w:id="148" w:name="_Toc264969213"/>
      <w:r/>
      <w:bookmarkStart w:id="149" w:name="_Toc149720816"/>
      <w:r/>
      <w:bookmarkStart w:id="150" w:name="_Toc127151523"/>
      <w:r/>
      <w:bookmarkStart w:id="151" w:name="_Toc151193693"/>
      <w:r/>
      <w:bookmarkStart w:id="152" w:name="_Toc305158791"/>
      <w:r/>
      <w:bookmarkStart w:id="153" w:name="_Toc305158865"/>
      <w:r/>
      <w:bookmarkStart w:id="154" w:name="_Toc151193837"/>
      <w:r/>
      <w:bookmarkStart w:id="155" w:name="_Toc151190150"/>
      <w:r/>
      <w:bookmarkStart w:id="156" w:name="_Toc226965796"/>
      <w:r/>
      <w:bookmarkStart w:id="157" w:name="_Toc164608792"/>
      <w:r/>
      <w:bookmarkStart w:id="158" w:name="_Toc150480761"/>
      <w:r/>
      <w:bookmarkStart w:id="159" w:name="_Toc151193621"/>
      <w:r>
        <w:rPr>
          <w:color w:val="000000"/>
          <w:sz w:val="24"/>
          <w:highlight w:val="none"/>
        </w:rPr>
        <w:t xml:space="preserve">竞争性磋商文件构</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color w:val="000000"/>
          <w:sz w:val="24"/>
          <w:highlight w:val="none"/>
        </w:rPr>
        <w:t xml:space="preserve">成</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竞争性磋商文件包括以下部分：</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rFonts w:ascii="Times New Roman" w:hAnsi="Times New Roman" w:eastAsia="宋体" w:cs="Times New Roman"/>
          <w:color w:val="000000"/>
          <w:sz w:val="24"/>
          <w:szCs w:val="24"/>
        </w:rPr>
        <w:t xml:space="preserve">竞争性磋商</w:t>
      </w:r>
      <w:r>
        <w:rPr>
          <w:rFonts w:hint="eastAsia"/>
          <w:color w:val="000000"/>
          <w:sz w:val="24"/>
          <w:highlight w:val="none"/>
        </w:rPr>
        <w:t xml:space="preserve">公告</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供应商须知</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评审</w:t>
      </w:r>
      <w:r>
        <w:rPr>
          <w:rFonts w:hint="eastAsia"/>
          <w:color w:val="000000"/>
          <w:sz w:val="24"/>
          <w:highlight w:val="none"/>
        </w:rPr>
        <w:t xml:space="preserve">程序、评审</w:t>
      </w:r>
      <w:r>
        <w:rPr>
          <w:color w:val="000000"/>
          <w:sz w:val="24"/>
          <w:highlight w:val="none"/>
        </w:rPr>
        <w:t xml:space="preserve">方法和评审标准</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合同草案条款</w:t>
      </w:r>
      <w:r>
        <w:rPr>
          <w:color w:val="000000"/>
          <w:sz w:val="24"/>
          <w:highlight w:val="none"/>
        </w:rPr>
      </w:r>
      <w:r/>
    </w:p>
    <w:p>
      <w:pPr>
        <w:pStyle w:val="937"/>
        <w:numPr>
          <w:ilvl w:val="0"/>
          <w:numId w:val="10"/>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响应文件格式</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对竞争性磋商文件的澄清或修改</w:t>
      </w:r>
      <w:r>
        <w:rPr>
          <w:color w:val="000000"/>
          <w:sz w:val="24"/>
          <w:highlight w:val="none"/>
        </w:rPr>
      </w:r>
      <w:r/>
    </w:p>
    <w:p>
      <w:pPr>
        <w:pStyle w:val="937"/>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采购人或采购代理机构对已发出的竞争性磋商文件进行必要澄清或者修改的，将在原公告发布媒体上以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磋商文件</w:t>
      </w:r>
      <w:r>
        <w:rPr>
          <w:color w:val="000000"/>
          <w:sz w:val="24"/>
          <w:highlight w:val="none"/>
        </w:rPr>
        <w:t xml:space="preserve">的</w:t>
      </w:r>
      <w:r>
        <w:rPr>
          <w:rFonts w:hint="eastAsia"/>
          <w:color w:val="000000"/>
          <w:sz w:val="24"/>
          <w:highlight w:val="none"/>
        </w:rPr>
        <w:t xml:space="preserve">供应商。</w:t>
      </w:r>
      <w:r>
        <w:rPr>
          <w:color w:val="000000"/>
          <w:sz w:val="24"/>
          <w:highlight w:val="none"/>
        </w:rPr>
      </w:r>
      <w:r/>
    </w:p>
    <w:p>
      <w:pPr>
        <w:pStyle w:val="937"/>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 xml:space="preserve">5</w:t>
      </w:r>
      <w:r>
        <w:rPr>
          <w:color w:val="000000"/>
          <w:sz w:val="24"/>
          <w:highlight w:val="none"/>
        </w:rPr>
        <w:t xml:space="preserve">日前</w:t>
      </w:r>
      <w:r>
        <w:rPr>
          <w:rFonts w:hint="eastAsia"/>
          <w:color w:val="000000"/>
          <w:sz w:val="24"/>
          <w:highlight w:val="none"/>
        </w:rPr>
        <w:t xml:space="preserve">，</w:t>
      </w:r>
      <w:r>
        <w:rPr>
          <w:color w:val="000000"/>
          <w:sz w:val="24"/>
          <w:highlight w:val="none"/>
        </w:rPr>
        <w:t xml:space="preserve">以更正公告形式通知所有获取</w:t>
      </w:r>
      <w:r>
        <w:rPr>
          <w:rFonts w:hint="eastAsia"/>
          <w:color w:val="000000"/>
          <w:sz w:val="24"/>
          <w:highlight w:val="none"/>
        </w:rPr>
        <w:t xml:space="preserve">磋商</w:t>
      </w:r>
      <w:r>
        <w:rPr>
          <w:color w:val="000000"/>
          <w:sz w:val="24"/>
          <w:highlight w:val="none"/>
        </w:rPr>
        <w:t xml:space="preserve">文件的潜在供应商；不足上述时间的，将顺延提交响应文件的截止时间。</w:t>
      </w:r>
      <w:r>
        <w:rPr>
          <w:color w:val="000000"/>
          <w:sz w:val="24"/>
          <w:highlight w:val="none"/>
        </w:rPr>
      </w:r>
      <w:r/>
    </w:p>
    <w:p>
      <w:pPr>
        <w:pStyle w:val="937"/>
        <w:ind w:left="1080"/>
        <w:spacing w:line="360" w:lineRule="auto"/>
        <w:tabs>
          <w:tab w:val="left" w:pos="1080" w:leader="none"/>
          <w:tab w:val="left" w:pos="1561" w:leader="none"/>
        </w:tabs>
        <w:rPr>
          <w:color w:val="000000"/>
          <w:sz w:val="28"/>
          <w:highlight w:val="none"/>
        </w:rPr>
      </w:pPr>
      <w:r/>
      <w:bookmarkStart w:id="160" w:name="_Toc151193696"/>
      <w:r/>
      <w:bookmarkStart w:id="161" w:name="_Toc151193624"/>
      <w:r/>
      <w:bookmarkStart w:id="162" w:name="_Toc151193840"/>
      <w:r/>
      <w:bookmarkStart w:id="163" w:name="_Toc520356150"/>
      <w:r/>
      <w:bookmarkStart w:id="164" w:name="_Toc151193914"/>
      <w:r/>
      <w:bookmarkStart w:id="165" w:name="_Toc264969216"/>
      <w:r/>
      <w:bookmarkStart w:id="166" w:name="_Toc127151526"/>
      <w:r/>
      <w:bookmarkStart w:id="167" w:name="_Toc226337222"/>
      <w:r/>
      <w:bookmarkStart w:id="168" w:name="_Toc305158868"/>
      <w:r/>
      <w:bookmarkStart w:id="169" w:name="_Toc150774626"/>
      <w:r/>
      <w:bookmarkStart w:id="170" w:name="_Toc150509277"/>
      <w:r/>
      <w:bookmarkStart w:id="171" w:name="_Toc195842891"/>
      <w:r/>
      <w:bookmarkStart w:id="172" w:name="_Toc142311028"/>
      <w:r/>
      <w:bookmarkStart w:id="173" w:name="_Toc226309770"/>
      <w:r/>
      <w:bookmarkStart w:id="174" w:name="_Toc151190153"/>
      <w:r/>
      <w:bookmarkStart w:id="175" w:name="_Toc265228364"/>
      <w:r/>
      <w:bookmarkStart w:id="176" w:name="_Toc151193768"/>
      <w:r/>
      <w:bookmarkStart w:id="177" w:name="_Toc150480764"/>
      <w:r/>
      <w:bookmarkStart w:id="178" w:name="_Toc150774731"/>
      <w:r/>
      <w:bookmarkStart w:id="179" w:name="_Toc226965799"/>
      <w:r/>
      <w:bookmarkStart w:id="180" w:name="_Toc305158794"/>
      <w:r/>
      <w:bookmarkStart w:id="181" w:name="_Toc516367020"/>
      <w:r/>
      <w:bookmarkStart w:id="182" w:name="_Toc226965716"/>
      <w:r>
        <w:rPr>
          <w:color w:val="000000"/>
          <w:sz w:val="28"/>
          <w:highlight w:val="none"/>
        </w:rPr>
      </w:r>
      <w:r/>
    </w:p>
    <w:p>
      <w:pPr>
        <w:pStyle w:val="93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响应文件</w:t>
      </w:r>
      <w:bookmarkEnd w:id="181"/>
      <w:r>
        <w:rPr>
          <w:rFonts w:ascii="Times New Roman" w:hAnsi="Times New Roman" w:eastAsia="宋体"/>
          <w:color w:val="000000"/>
          <w:sz w:val="28"/>
          <w:highlight w:val="none"/>
        </w:rPr>
        <w:t xml:space="preserve">的编制</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2"/>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83" w:name="_Toc151190154"/>
      <w:r/>
      <w:bookmarkStart w:id="184" w:name="_Toc265228365"/>
      <w:r/>
      <w:bookmarkStart w:id="185" w:name="_Toc195842892"/>
      <w:r/>
      <w:bookmarkStart w:id="186" w:name="_Toc127151728"/>
      <w:r/>
      <w:bookmarkStart w:id="187" w:name="_Toc151193841"/>
      <w:r/>
      <w:bookmarkStart w:id="188" w:name="_Toc226337223"/>
      <w:r/>
      <w:bookmarkStart w:id="189" w:name="_Toc164608796"/>
      <w:r/>
      <w:bookmarkStart w:id="190" w:name="_Toc305158869"/>
      <w:r/>
      <w:bookmarkStart w:id="191" w:name="_Toc149720820"/>
      <w:r/>
      <w:bookmarkStart w:id="192" w:name="_Toc127151527"/>
      <w:r/>
      <w:bookmarkStart w:id="193" w:name="_Toc150480765"/>
      <w:r/>
      <w:bookmarkStart w:id="194" w:name="_Toc305158795"/>
      <w:r/>
      <w:bookmarkStart w:id="195" w:name="_Toc226965717"/>
      <w:r/>
      <w:bookmarkStart w:id="196" w:name="_Toc164351621"/>
      <w:r/>
      <w:bookmarkStart w:id="197" w:name="_Toc142311029"/>
      <w:r/>
      <w:bookmarkStart w:id="198" w:name="_Toc127161441"/>
      <w:r/>
      <w:bookmarkStart w:id="199" w:name="_Toc264969217"/>
      <w:r/>
      <w:bookmarkStart w:id="200" w:name="_Toc151193697"/>
      <w:r/>
      <w:bookmarkStart w:id="201" w:name="_Toc516367021"/>
      <w:r/>
      <w:bookmarkStart w:id="202" w:name="_Toc150774732"/>
      <w:r/>
      <w:bookmarkStart w:id="203" w:name="_Toc150774627"/>
      <w:r/>
      <w:bookmarkStart w:id="204" w:name="_Toc520356151"/>
      <w:r/>
      <w:bookmarkStart w:id="205" w:name="_Toc164229222"/>
      <w:r/>
      <w:bookmarkStart w:id="206" w:name="_Toc151193769"/>
      <w:r/>
      <w:bookmarkStart w:id="207" w:name="_Toc226965800"/>
      <w:r/>
      <w:bookmarkStart w:id="208" w:name="_Toc150509278"/>
      <w:r/>
      <w:bookmarkStart w:id="209" w:name="_Toc164229368"/>
      <w:r/>
      <w:bookmarkStart w:id="210" w:name="_Toc151193915"/>
      <w:r/>
      <w:bookmarkStart w:id="211" w:name="_Toc226309771"/>
      <w:r/>
      <w:bookmarkStart w:id="212" w:name="_Toc151193625"/>
      <w:r/>
      <w:bookmarkStart w:id="213" w:name="_Toc164608641"/>
      <w:r>
        <w:rPr>
          <w:color w:val="000000"/>
          <w:sz w:val="24"/>
          <w:highlight w:val="none"/>
        </w:rPr>
        <w:t xml:space="preserve">响应范围、竞争性磋商文件中计量单位的使用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rPr>
          <w:color w:val="000000"/>
          <w:sz w:val="24"/>
          <w:highlight w:val="none"/>
        </w:rPr>
        <w:t xml:space="preserve">及磋商语言</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除竞争性磋商文件有特殊要求外，本项目磋商所使用的计量单位，应采用中华人民共和国法定计量单位。</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14" w:name="_Toc226337224"/>
      <w:r/>
      <w:bookmarkStart w:id="215" w:name="_Toc520356152"/>
      <w:r/>
      <w:bookmarkStart w:id="216" w:name="_Toc127151528"/>
      <w:r/>
      <w:bookmarkStart w:id="217" w:name="_Toc150480766"/>
      <w:r/>
      <w:bookmarkStart w:id="218" w:name="_Toc151193626"/>
      <w:r/>
      <w:bookmarkStart w:id="219" w:name="_Toc164351622"/>
      <w:r/>
      <w:bookmarkStart w:id="220" w:name="_Toc151193916"/>
      <w:r/>
      <w:bookmarkStart w:id="221" w:name="_Toc226965801"/>
      <w:r/>
      <w:bookmarkStart w:id="222" w:name="_Toc305158870"/>
      <w:r/>
      <w:bookmarkStart w:id="223" w:name="_Toc127161442"/>
      <w:r/>
      <w:bookmarkStart w:id="224" w:name="_Toc150774628"/>
      <w:r/>
      <w:bookmarkStart w:id="225" w:name="_Toc151193770"/>
      <w:r/>
      <w:bookmarkStart w:id="226" w:name="_Toc265228366"/>
      <w:r/>
      <w:bookmarkStart w:id="227" w:name="_Ref467306676"/>
      <w:r/>
      <w:bookmarkStart w:id="228" w:name="_Ref467306195"/>
      <w:r/>
      <w:bookmarkStart w:id="229" w:name="_Toc150509279"/>
      <w:r/>
      <w:bookmarkStart w:id="230" w:name="_Toc516367022"/>
      <w:r/>
      <w:bookmarkStart w:id="231" w:name="_Toc142311030"/>
      <w:r/>
      <w:bookmarkStart w:id="232" w:name="_Toc164229369"/>
      <w:r/>
      <w:bookmarkStart w:id="233" w:name="_Toc164608797"/>
      <w:r/>
      <w:bookmarkStart w:id="234" w:name="_Toc151193698"/>
      <w:r/>
      <w:bookmarkStart w:id="235" w:name="_Toc164608642"/>
      <w:r/>
      <w:bookmarkStart w:id="236" w:name="_Toc151190155"/>
      <w:r/>
      <w:bookmarkStart w:id="237" w:name="_Toc149720821"/>
      <w:r/>
      <w:bookmarkStart w:id="238" w:name="_Toc151193842"/>
      <w:r/>
      <w:bookmarkStart w:id="239" w:name="_Toc305158796"/>
      <w:r/>
      <w:bookmarkStart w:id="240" w:name="_Toc264969218"/>
      <w:r/>
      <w:bookmarkStart w:id="241" w:name="_Toc164229223"/>
      <w:r/>
      <w:bookmarkStart w:id="242" w:name="_Toc226965718"/>
      <w:r/>
      <w:bookmarkStart w:id="243" w:name="_Toc226309772"/>
      <w:r/>
      <w:bookmarkStart w:id="244" w:name="_Toc195842893"/>
      <w:r/>
      <w:bookmarkStart w:id="245" w:name="_Toc127151729"/>
      <w:r/>
      <w:bookmarkStart w:id="246" w:name="_Toc150774733"/>
      <w:r>
        <w:rPr>
          <w:color w:val="000000"/>
          <w:sz w:val="24"/>
          <w:highlight w:val="none"/>
        </w:rPr>
        <w:t xml:space="preserve">响应文件</w:t>
      </w:r>
      <w:bookmarkEnd w:id="227"/>
      <w:r/>
      <w:bookmarkEnd w:id="228"/>
      <w:r/>
      <w:bookmarkEnd w:id="230"/>
      <w:r>
        <w:rPr>
          <w:color w:val="000000"/>
          <w:sz w:val="24"/>
          <w:highlight w:val="none"/>
        </w:rPr>
        <w:t xml:space="preserve">构成</w:t>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9"/>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47" w:name="_Ref467052588"/>
      <w:r>
        <w:rPr>
          <w:color w:val="000000"/>
          <w:sz w:val="24"/>
          <w:highlight w:val="none"/>
        </w:rPr>
        <w:t xml:space="preserve">供应商应当按照竞争性磋商文件的要求编制响应文件，</w:t>
      </w:r>
      <w:r>
        <w:rPr>
          <w:color w:val="000000"/>
          <w:sz w:val="24"/>
          <w:highlight w:val="none"/>
        </w:rPr>
        <w:t xml:space="preserve">并对其提交的响应文件的真实性、合法性承担法律责任</w:t>
      </w:r>
      <w:r>
        <w:rPr>
          <w:color w:val="000000"/>
          <w:sz w:val="24"/>
          <w:highlight w:val="none"/>
        </w:rPr>
        <w:t xml:space="preserve">。响应文件的部分格式要求，见第六章《响应文件格式》。</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对于竞争性磋商文件中标记了“实质性格式”文件的，</w:t>
      </w:r>
      <w:r>
        <w:rPr>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第三章《评审方法和评审标准》中涉及的证明文件。</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供应商认为应附的其他材料。</w:t>
      </w:r>
      <w:bookmarkEnd w:id="247"/>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48" w:name="_Toc164229225"/>
      <w:r/>
      <w:bookmarkStart w:id="249" w:name="_Toc149720823"/>
      <w:r/>
      <w:bookmarkStart w:id="250" w:name="_Toc150774735"/>
      <w:r/>
      <w:bookmarkStart w:id="251" w:name="_Toc164608644"/>
      <w:r/>
      <w:bookmarkStart w:id="252" w:name="_Toc164608799"/>
      <w:r/>
      <w:bookmarkStart w:id="253" w:name="_Toc151193772"/>
      <w:r/>
      <w:bookmarkStart w:id="254" w:name="_Toc151193918"/>
      <w:r/>
      <w:bookmarkStart w:id="255" w:name="_Toc195842895"/>
      <w:r/>
      <w:bookmarkStart w:id="256" w:name="_Toc150509281"/>
      <w:r/>
      <w:bookmarkStart w:id="257" w:name="_Toc142311032"/>
      <w:r/>
      <w:bookmarkStart w:id="258" w:name="_Toc127161444"/>
      <w:r/>
      <w:bookmarkStart w:id="259" w:name="_Toc151193844"/>
      <w:r/>
      <w:bookmarkStart w:id="260" w:name="_Toc150480768"/>
      <w:r/>
      <w:bookmarkStart w:id="261" w:name="_Toc520356155"/>
      <w:r/>
      <w:bookmarkStart w:id="262" w:name="_Toc151190157"/>
      <w:r/>
      <w:bookmarkStart w:id="263" w:name="_Toc150774630"/>
      <w:r/>
      <w:bookmarkStart w:id="264" w:name="_Toc127151731"/>
      <w:r/>
      <w:bookmarkStart w:id="265" w:name="_Toc151193700"/>
      <w:r/>
      <w:bookmarkStart w:id="266" w:name="_Toc164351624"/>
      <w:r/>
      <w:bookmarkStart w:id="267" w:name="_Toc127151530"/>
      <w:r/>
      <w:bookmarkStart w:id="268" w:name="_Toc164229371"/>
      <w:r/>
      <w:bookmarkStart w:id="269" w:name="_Toc151193628"/>
      <w:r>
        <w:rPr>
          <w:color w:val="000000"/>
          <w:sz w:val="24"/>
          <w:highlight w:val="none"/>
        </w:rPr>
        <w:t xml:space="preserve">报价</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所有响应均以人民币报价。</w:t>
      </w:r>
      <w:r>
        <w:rPr>
          <w:color w:val="000000"/>
          <w:sz w:val="24"/>
          <w:highlight w:val="none"/>
        </w:rPr>
      </w:r>
      <w:r/>
    </w:p>
    <w:p>
      <w:pPr>
        <w:pStyle w:val="937"/>
        <w:numPr>
          <w:ilvl w:val="1"/>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供应商的报价应包括为完成本项目所发生的一切费用和税费，采购人将不再支付报价以外的任何费用。</w:t>
      </w:r>
      <w:r>
        <w:rPr>
          <w:rFonts w:hint="eastAsia"/>
          <w:color w:val="000000"/>
          <w:sz w:val="24"/>
          <w:highlight w:val="none"/>
        </w:rPr>
        <w:t xml:space="preserve">供应商的报价应包括但不限于下列内容，《供应商须知资料表》中有特殊规定的，从其规定。</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按照竞争性磋商文件要求完成本项</w:t>
      </w:r>
      <w:r>
        <w:rPr>
          <w:rFonts w:hint="eastAsia"/>
          <w:color w:val="000000"/>
          <w:sz w:val="24"/>
          <w:highlight w:val="none"/>
        </w:rPr>
        <w:t xml:space="preserve">目的全部相关工程或服务费用。</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供应商不能提供任何有选择性或可调整的最终报价（</w:t>
      </w:r>
      <w:r>
        <w:rPr>
          <w:color w:val="000000"/>
          <w:sz w:val="24"/>
          <w:highlight w:val="none"/>
        </w:rPr>
        <w:t xml:space="preserve">竞争性磋商文件</w:t>
      </w:r>
      <w:r>
        <w:rPr>
          <w:color w:val="000000"/>
          <w:sz w:val="24"/>
          <w:highlight w:val="none"/>
        </w:rPr>
        <w:t xml:space="preserve">另有规定的除外），否则其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10.5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磋商小组会</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937"/>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sz w:val="24"/>
          <w:highlight w:val="none"/>
        </w:rPr>
      </w:r>
      <w:r/>
    </w:p>
    <w:p>
      <w:pPr>
        <w:pStyle w:val="937"/>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sz w:val="24"/>
          <w:highlight w:val="none"/>
        </w:rPr>
      </w:r>
      <w:r/>
    </w:p>
    <w:p>
      <w:pPr>
        <w:pStyle w:val="937"/>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10.5.3投标报价低于采购项目最高限价45%的，即投标报价&lt;采购项目最高限价×45%；</w:t>
      </w:r>
      <w:r>
        <w:rPr>
          <w:rFonts w:ascii="宋体" w:hAnsi="宋体" w:eastAsia="宋体" w:cs="宋体"/>
          <w:b/>
          <w:bCs/>
          <w:sz w:val="24"/>
          <w:highlight w:val="none"/>
        </w:rPr>
      </w:r>
      <w:r/>
    </w:p>
    <w:p>
      <w:pPr>
        <w:pStyle w:val="937"/>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sz w:val="24"/>
          <w:highlight w:val="none"/>
          <w:lang w:val="en-US" w:eastAsia="zh-CN"/>
        </w:rPr>
      </w:r>
      <w:r/>
    </w:p>
    <w:p>
      <w:pPr>
        <w:pStyle w:val="937"/>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937"/>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sz w:val="24"/>
          <w:highlight w:val="none"/>
          <w:lang w:val="en-US" w:eastAsia="zh-CN"/>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rFonts w:hint="eastAsia" w:ascii="宋体" w:hAnsi="宋体" w:eastAsia="宋体" w:cs="宋体"/>
          <w:b/>
          <w:bCs/>
          <w:sz w:val="24"/>
          <w:highlight w:val="none"/>
          <w:lang w:val="en-US" w:eastAsia="zh-CN"/>
        </w:rPr>
        <w:t xml:space="preserve">具体详见《关于推动解决政府采购异常低价问题的通知》财库〔2026〕2号</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磋商保证金</w:t>
      </w:r>
      <w:r>
        <w:rPr>
          <w:color w:val="000000"/>
          <w:sz w:val="24"/>
          <w:highlight w:val="none"/>
        </w:rPr>
      </w:r>
      <w:r/>
    </w:p>
    <w:p>
      <w:pPr>
        <w:pStyle w:val="937"/>
        <w:ind w:firstLine="360"/>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根据江苏省和常州市的相关文件规定，免收保证金。</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响应有效期</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响应文件应在本竞争性磋商文件《供应商须知资料表》中规定的响应有效期内保持有效，响应有效期少于竞争性磋商文件规定期限的，其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70" w:name="_Toc164608647"/>
      <w:r/>
      <w:bookmarkStart w:id="271" w:name="_Toc305158875"/>
      <w:r/>
      <w:bookmarkStart w:id="272" w:name="_Toc151193921"/>
      <w:r/>
      <w:bookmarkStart w:id="273" w:name="_Toc164229374"/>
      <w:r/>
      <w:bookmarkStart w:id="274" w:name="_Toc150774738"/>
      <w:r/>
      <w:bookmarkStart w:id="275" w:name="_Toc226337229"/>
      <w:r/>
      <w:bookmarkStart w:id="276" w:name="_Toc150774633"/>
      <w:r/>
      <w:bookmarkStart w:id="277" w:name="_Toc520356158"/>
      <w:r/>
      <w:bookmarkStart w:id="278" w:name="_Toc305158801"/>
      <w:r/>
      <w:bookmarkStart w:id="279" w:name="_Toc264969223"/>
      <w:r/>
      <w:bookmarkStart w:id="280" w:name="_Toc195842898"/>
      <w:r/>
      <w:bookmarkStart w:id="281" w:name="_Toc164229228"/>
      <w:r/>
      <w:bookmarkStart w:id="282" w:name="_Toc151190160"/>
      <w:r/>
      <w:bookmarkStart w:id="283" w:name="_Toc151193775"/>
      <w:r/>
      <w:bookmarkStart w:id="284" w:name="_Toc151193703"/>
      <w:r/>
      <w:bookmarkStart w:id="285" w:name="_Toc127151734"/>
      <w:r/>
      <w:bookmarkStart w:id="286" w:name="_Toc164351627"/>
      <w:r/>
      <w:bookmarkStart w:id="287" w:name="_Toc149720826"/>
      <w:r/>
      <w:bookmarkStart w:id="288" w:name="_Toc150509284"/>
      <w:r/>
      <w:bookmarkStart w:id="289" w:name="_Toc127161447"/>
      <w:r/>
      <w:bookmarkStart w:id="290" w:name="_Toc151193847"/>
      <w:r/>
      <w:bookmarkStart w:id="291" w:name="_Toc226309777"/>
      <w:r/>
      <w:bookmarkStart w:id="292" w:name="_Toc127151533"/>
      <w:r/>
      <w:bookmarkStart w:id="293" w:name="_Toc142311035"/>
      <w:r/>
      <w:bookmarkStart w:id="294" w:name="_Toc151193631"/>
      <w:r/>
      <w:bookmarkStart w:id="295" w:name="_Toc150480771"/>
      <w:r/>
      <w:bookmarkStart w:id="296" w:name="_Toc164608802"/>
      <w:r/>
      <w:bookmarkStart w:id="297" w:name="_Toc226965806"/>
      <w:r/>
      <w:bookmarkStart w:id="298" w:name="_Toc226965723"/>
      <w:r/>
      <w:bookmarkStart w:id="299" w:name="_Toc265228371"/>
      <w:r>
        <w:rPr>
          <w:color w:val="000000"/>
          <w:sz w:val="24"/>
          <w:highlight w:val="none"/>
        </w:rPr>
        <w:t xml:space="preserve">响应文件的签署</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Pr>
          <w:color w:val="000000"/>
          <w:sz w:val="24"/>
          <w:highlight w:val="none"/>
        </w:rPr>
        <w:t xml:space="preserve">、盖章</w:t>
      </w:r>
      <w:r>
        <w:rPr>
          <w:color w:val="000000"/>
          <w:sz w:val="24"/>
          <w:highlight w:val="none"/>
        </w:rPr>
      </w:r>
      <w:r/>
    </w:p>
    <w:p>
      <w:pPr>
        <w:pStyle w:val="937"/>
        <w:numPr>
          <w:ilvl w:val="1"/>
          <w:numId w:val="8"/>
        </w:numPr>
        <w:spacing w:line="360" w:lineRule="auto"/>
        <w:tabs>
          <w:tab w:val="left" w:pos="1080" w:leader="none"/>
          <w:tab w:val="left" w:pos="1589" w:leader="none"/>
        </w:tabs>
        <w:rPr>
          <w:color w:val="000000"/>
          <w:sz w:val="24"/>
          <w:highlight w:val="none"/>
        </w:rPr>
      </w:pPr>
      <w:r/>
      <w:bookmarkStart w:id="300" w:name="_Toc151193922"/>
      <w:r/>
      <w:bookmarkStart w:id="301" w:name="_Toc226309778"/>
      <w:r/>
      <w:bookmarkStart w:id="302" w:name="_Toc151190161"/>
      <w:r/>
      <w:bookmarkStart w:id="303" w:name="_Toc305158876"/>
      <w:r/>
      <w:bookmarkStart w:id="304" w:name="_Toc150480772"/>
      <w:r/>
      <w:bookmarkStart w:id="305" w:name="_Toc265228372"/>
      <w:r/>
      <w:bookmarkStart w:id="306" w:name="_Toc151193776"/>
      <w:r/>
      <w:bookmarkStart w:id="307" w:name="_Toc150509285"/>
      <w:r/>
      <w:bookmarkStart w:id="308" w:name="_Toc151193632"/>
      <w:r/>
      <w:bookmarkStart w:id="309" w:name="_Toc127151534"/>
      <w:r/>
      <w:bookmarkStart w:id="310" w:name="_Toc520356159"/>
      <w:r/>
      <w:bookmarkStart w:id="311" w:name="_Toc150774634"/>
      <w:r/>
      <w:bookmarkStart w:id="312" w:name="_Toc195842899"/>
      <w:r/>
      <w:bookmarkStart w:id="313" w:name="_Toc151193848"/>
      <w:r/>
      <w:bookmarkStart w:id="314" w:name="_Toc226965724"/>
      <w:r/>
      <w:bookmarkStart w:id="315" w:name="_Toc226337230"/>
      <w:r/>
      <w:bookmarkStart w:id="316" w:name="_Toc226965807"/>
      <w:r/>
      <w:bookmarkStart w:id="317" w:name="_Toc151193704"/>
      <w:r/>
      <w:bookmarkStart w:id="318" w:name="_Toc305158802"/>
      <w:r/>
      <w:bookmarkStart w:id="319" w:name="_Toc264969224"/>
      <w:r/>
      <w:bookmarkStart w:id="320" w:name="_Toc142311036"/>
      <w:r/>
      <w:bookmarkStart w:id="321" w:name="_Toc150774739"/>
      <w:r>
        <w:rPr>
          <w:color w:val="000000"/>
          <w:sz w:val="24"/>
          <w:highlight w:val="none"/>
        </w:rPr>
        <w:t xml:space="preserve">竞争性磋商文件要求签字的内容（如授权委托书等），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第三方出具的盖章件原件（如联合协议、分包意向协议、制造商授权书原件等），响应文件中应使用原件的电子件。</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竞争性磋商文件要求盖章的内容，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937"/>
        <w:ind w:left="357"/>
        <w:spacing w:line="360" w:lineRule="auto"/>
        <w:tabs>
          <w:tab w:val="left" w:pos="900" w:leader="none"/>
          <w:tab w:val="left" w:pos="1080" w:leader="none"/>
        </w:tabs>
        <w:rPr>
          <w:color w:val="000000"/>
          <w:highlight w:val="none"/>
        </w:rPr>
      </w:pPr>
      <w:r>
        <w:rPr>
          <w:color w:val="000000"/>
          <w:highlight w:val="none"/>
        </w:rPr>
      </w:r>
      <w:r/>
    </w:p>
    <w:p>
      <w:pPr>
        <w:pStyle w:val="939"/>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响应文件的提交</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22" w:name="_Toc127151535"/>
      <w:r/>
      <w:bookmarkStart w:id="323" w:name="_Toc195842900"/>
      <w:r/>
      <w:bookmarkStart w:id="324" w:name="_Toc226965808"/>
      <w:r/>
      <w:bookmarkStart w:id="325" w:name="_Toc150774740"/>
      <w:r/>
      <w:bookmarkStart w:id="326" w:name="_Toc226309779"/>
      <w:r/>
      <w:bookmarkStart w:id="327" w:name="_Toc520356160"/>
      <w:r/>
      <w:bookmarkStart w:id="328" w:name="_Toc150480773"/>
      <w:r/>
      <w:bookmarkStart w:id="329" w:name="_Toc305158803"/>
      <w:r/>
      <w:bookmarkStart w:id="330" w:name="_Toc264969225"/>
      <w:r/>
      <w:bookmarkStart w:id="331" w:name="_Toc226965725"/>
      <w:r/>
      <w:bookmarkStart w:id="332" w:name="_Toc151193777"/>
      <w:r/>
      <w:bookmarkStart w:id="333" w:name="_Toc151193633"/>
      <w:r/>
      <w:bookmarkStart w:id="334" w:name="_Toc127161449"/>
      <w:r/>
      <w:bookmarkStart w:id="335" w:name="_Toc164351629"/>
      <w:r/>
      <w:bookmarkStart w:id="336" w:name="_Toc150774635"/>
      <w:r/>
      <w:bookmarkStart w:id="337" w:name="_Toc226337231"/>
      <w:r/>
      <w:bookmarkStart w:id="338" w:name="_Toc164229230"/>
      <w:r/>
      <w:bookmarkStart w:id="339" w:name="_Toc142311037"/>
      <w:r/>
      <w:bookmarkStart w:id="340" w:name="_Toc164608804"/>
      <w:r/>
      <w:bookmarkStart w:id="341" w:name="_Toc265228373"/>
      <w:r/>
      <w:bookmarkStart w:id="342" w:name="_Toc151190162"/>
      <w:r/>
      <w:bookmarkStart w:id="343" w:name="_Toc305158877"/>
      <w:r/>
      <w:bookmarkStart w:id="344" w:name="_Toc127151736"/>
      <w:r/>
      <w:bookmarkStart w:id="345" w:name="_Toc151193923"/>
      <w:r/>
      <w:bookmarkStart w:id="346" w:name="_Toc151193705"/>
      <w:r/>
      <w:bookmarkStart w:id="347" w:name="_Toc149720828"/>
      <w:r/>
      <w:bookmarkStart w:id="348" w:name="_Toc151193849"/>
      <w:r/>
      <w:bookmarkStart w:id="349" w:name="_Toc150509286"/>
      <w:r/>
      <w:bookmarkStart w:id="350" w:name="_Toc164229376"/>
      <w:r/>
      <w:bookmarkStart w:id="351" w:name="_Toc164608649"/>
      <w:r>
        <w:rPr>
          <w:color w:val="000000"/>
          <w:sz w:val="24"/>
          <w:highlight w:val="none"/>
        </w:rPr>
        <w:t xml:space="preserve">响应文件的</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color w:val="000000"/>
          <w:sz w:val="24"/>
          <w:highlight w:val="none"/>
        </w:rPr>
        <w:t xml:space="preserve">提交</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sz w:val="24"/>
          <w:lang w:eastAsia="zh-CN"/>
        </w:rPr>
        <w:t xml:space="preserve">“苏采云”政府采购一体化平台</w:t>
      </w:r>
      <w:r>
        <w:rPr>
          <w:color w:val="000000"/>
          <w:sz w:val="24"/>
          <w:highlight w:val="none"/>
        </w:rPr>
        <w:t xml:space="preserve">。供应商根据竞争性磋商文件及</w:t>
      </w:r>
      <w:r>
        <w:rPr>
          <w:rFonts w:hint="eastAsia"/>
          <w:sz w:val="24"/>
          <w:lang w:eastAsia="zh-CN"/>
        </w:rPr>
        <w:t xml:space="preserve">“苏采云”政府采购一体化平台</w:t>
      </w:r>
      <w:r>
        <w:rPr>
          <w:color w:val="000000"/>
          <w:sz w:val="24"/>
          <w:highlight w:val="none"/>
        </w:rPr>
        <w:t xml:space="preserve">供应商操作手册要求编制、生成并提交电子响应文件。</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采购人及采购代理机构拒绝接受通过电子交易平台以外任何形式提交的响应文件，磋商保证金除外。</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52" w:name="_Toc142311038"/>
      <w:r/>
      <w:bookmarkStart w:id="353" w:name="_Toc226965726"/>
      <w:r/>
      <w:bookmarkStart w:id="354" w:name="_Toc164229377"/>
      <w:r/>
      <w:bookmarkStart w:id="355" w:name="_Toc305158804"/>
      <w:r/>
      <w:bookmarkStart w:id="356" w:name="_Toc127161450"/>
      <w:r/>
      <w:bookmarkStart w:id="357" w:name="_Toc149720829"/>
      <w:r/>
      <w:bookmarkStart w:id="358" w:name="_Toc265228374"/>
      <w:r/>
      <w:bookmarkStart w:id="359" w:name="_Toc520356161"/>
      <w:r/>
      <w:bookmarkStart w:id="360" w:name="_Toc195842901"/>
      <w:r/>
      <w:bookmarkStart w:id="361" w:name="_Toc164608805"/>
      <w:r/>
      <w:bookmarkStart w:id="362" w:name="_Toc151190163"/>
      <w:r/>
      <w:bookmarkStart w:id="363" w:name="_Toc164229231"/>
      <w:r/>
      <w:bookmarkStart w:id="364" w:name="_Toc151193850"/>
      <w:r/>
      <w:bookmarkStart w:id="365" w:name="_Toc226309780"/>
      <w:r/>
      <w:bookmarkStart w:id="366" w:name="_Toc305158878"/>
      <w:r/>
      <w:bookmarkStart w:id="367" w:name="_Toc127151737"/>
      <w:r/>
      <w:bookmarkStart w:id="368" w:name="_Toc226337232"/>
      <w:r/>
      <w:bookmarkStart w:id="369" w:name="_Toc151193706"/>
      <w:r/>
      <w:bookmarkStart w:id="370" w:name="_Toc164608650"/>
      <w:r/>
      <w:bookmarkStart w:id="371" w:name="_Toc226965809"/>
      <w:r/>
      <w:bookmarkStart w:id="372" w:name="_Toc150509287"/>
      <w:r/>
      <w:bookmarkStart w:id="373" w:name="_Toc264969226"/>
      <w:r/>
      <w:bookmarkStart w:id="374" w:name="_Toc151193778"/>
      <w:r/>
      <w:bookmarkStart w:id="375" w:name="_Toc150480774"/>
      <w:r/>
      <w:bookmarkStart w:id="376" w:name="_Toc151193924"/>
      <w:r/>
      <w:bookmarkStart w:id="377" w:name="_Toc164351630"/>
      <w:r/>
      <w:bookmarkStart w:id="378" w:name="_Toc151193634"/>
      <w:r/>
      <w:bookmarkStart w:id="379" w:name="_Toc150774636"/>
      <w:r/>
      <w:bookmarkStart w:id="380" w:name="_Toc127151536"/>
      <w:r/>
      <w:bookmarkStart w:id="381" w:name="_Toc150774741"/>
      <w:r>
        <w:rPr>
          <w:color w:val="000000"/>
          <w:sz w:val="24"/>
          <w:highlight w:val="none"/>
        </w:rPr>
        <w:t xml:space="preserve">响应文件截止</w:t>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rPr>
          <w:color w:val="000000"/>
          <w:sz w:val="24"/>
          <w:highlight w:val="none"/>
        </w:rPr>
        <w:t xml:space="preserve">时间</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供应商应在竞争性磋商文件要求提交响应文件截止时间前，将电子响应文件提交至</w:t>
      </w:r>
      <w:r>
        <w:rPr>
          <w:rFonts w:hint="eastAsia"/>
          <w:sz w:val="24"/>
          <w:lang w:eastAsia="zh-CN"/>
        </w:rPr>
        <w:t xml:space="preserve">“苏采云”政府采购一体化平台</w:t>
      </w:r>
      <w:r>
        <w:rPr>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82" w:name="_Toc150509288"/>
      <w:r/>
      <w:bookmarkStart w:id="383" w:name="_Toc151193851"/>
      <w:r/>
      <w:bookmarkStart w:id="384" w:name="_Toc226309781"/>
      <w:r/>
      <w:bookmarkStart w:id="385" w:name="_Toc265228375"/>
      <w:r/>
      <w:bookmarkStart w:id="386" w:name="_Toc150774637"/>
      <w:r/>
      <w:bookmarkStart w:id="387" w:name="_Toc151193779"/>
      <w:r/>
      <w:bookmarkStart w:id="388" w:name="_Toc151190164"/>
      <w:r/>
      <w:bookmarkStart w:id="389" w:name="_Toc226965810"/>
      <w:r/>
      <w:bookmarkStart w:id="390" w:name="_Toc150774742"/>
      <w:r/>
      <w:bookmarkStart w:id="391" w:name="_Toc164229378"/>
      <w:r/>
      <w:bookmarkStart w:id="392" w:name="_Toc164608806"/>
      <w:r/>
      <w:bookmarkStart w:id="393" w:name="_Toc149720830"/>
      <w:r/>
      <w:bookmarkStart w:id="394" w:name="_Toc142311039"/>
      <w:r/>
      <w:bookmarkStart w:id="395" w:name="_Toc127151738"/>
      <w:r/>
      <w:bookmarkStart w:id="396" w:name="_Toc127161451"/>
      <w:r/>
      <w:bookmarkStart w:id="397" w:name="_Toc226965727"/>
      <w:r/>
      <w:bookmarkStart w:id="398" w:name="_Toc305158805"/>
      <w:r/>
      <w:bookmarkStart w:id="399" w:name="_Toc151193707"/>
      <w:r/>
      <w:bookmarkStart w:id="400" w:name="_Toc164608651"/>
      <w:r/>
      <w:bookmarkStart w:id="401" w:name="_Toc520356162"/>
      <w:r/>
      <w:bookmarkStart w:id="402" w:name="_Toc164229232"/>
      <w:r/>
      <w:bookmarkStart w:id="403" w:name="_Toc164351631"/>
      <w:r/>
      <w:bookmarkStart w:id="404" w:name="_Toc127151537"/>
      <w:r/>
      <w:bookmarkStart w:id="405" w:name="_Toc264969227"/>
      <w:r/>
      <w:bookmarkStart w:id="406" w:name="_Toc151193925"/>
      <w:r/>
      <w:bookmarkStart w:id="407" w:name="_Toc195842902"/>
      <w:r/>
      <w:bookmarkStart w:id="408" w:name="_Toc305158879"/>
      <w:r/>
      <w:bookmarkStart w:id="409" w:name="_Toc226337233"/>
      <w:r/>
      <w:bookmarkStart w:id="410" w:name="_Toc150480775"/>
      <w:r/>
      <w:bookmarkStart w:id="411" w:name="_Toc151193635"/>
      <w:r>
        <w:rPr>
          <w:color w:val="000000"/>
          <w:sz w:val="24"/>
          <w:highlight w:val="none"/>
        </w:rPr>
        <w:t xml:space="preserve">响应文件的修改与撤回</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提交响应文件截止时间前，供应商可以通过电子交易平台对所提交的响应文件进行补充、修改或者撤回。磋商保证金</w:t>
      </w:r>
      <w:r>
        <w:rPr>
          <w:rFonts w:hint="eastAsia"/>
          <w:color w:val="000000"/>
          <w:sz w:val="24"/>
          <w:highlight w:val="none"/>
        </w:rPr>
        <w:t xml:space="preserve">的</w:t>
      </w:r>
      <w:r>
        <w:rPr>
          <w:color w:val="000000"/>
          <w:sz w:val="24"/>
          <w:highlight w:val="none"/>
        </w:rPr>
        <w:t xml:space="preserve">补充、修改或者撤回</w:t>
      </w:r>
      <w:r>
        <w:rPr>
          <w:rFonts w:hint="eastAsia"/>
          <w:color w:val="000000"/>
          <w:sz w:val="24"/>
          <w:highlight w:val="none"/>
        </w:rPr>
        <w:t xml:space="preserve">无需</w:t>
      </w:r>
      <w:r>
        <w:rPr>
          <w:color w:val="000000"/>
          <w:sz w:val="24"/>
          <w:highlight w:val="none"/>
        </w:rPr>
        <w:t xml:space="preserve">通过电子交易平台</w:t>
      </w:r>
      <w:r>
        <w:rPr>
          <w:rFonts w:hint="eastAsia"/>
          <w:color w:val="000000"/>
          <w:sz w:val="24"/>
          <w:highlight w:val="none"/>
        </w:rPr>
        <w:t xml:space="preserve">，</w:t>
      </w:r>
      <w:r>
        <w:rPr>
          <w:color w:val="000000"/>
          <w:sz w:val="24"/>
          <w:highlight w:val="none"/>
        </w:rPr>
        <w:t xml:space="preserve">但应</w:t>
      </w:r>
      <w:r>
        <w:rPr>
          <w:rFonts w:hint="eastAsia"/>
          <w:color w:val="000000"/>
          <w:sz w:val="24"/>
          <w:highlight w:val="none"/>
        </w:rPr>
        <w:t xml:space="preserve">就其</w:t>
      </w:r>
      <w:r>
        <w:rPr>
          <w:color w:val="000000"/>
          <w:sz w:val="24"/>
          <w:highlight w:val="none"/>
        </w:rPr>
        <w:t xml:space="preserve">补充、修改或者撤回</w:t>
      </w:r>
      <w:r>
        <w:rPr>
          <w:rFonts w:hint="eastAsia"/>
          <w:color w:val="000000"/>
          <w:sz w:val="24"/>
          <w:highlight w:val="none"/>
        </w:rPr>
        <w:t xml:space="preserve">通知</w:t>
      </w:r>
      <w:r>
        <w:rPr>
          <w:color w:val="000000"/>
          <w:sz w:val="24"/>
          <w:highlight w:val="none"/>
        </w:rPr>
        <w:t xml:space="preserve">采购人或采购代理机构。</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供应商对响应文件的补充、修改的内容应当按照竞争性磋商文件要求签署、盖章，作为响应文件的组成部分。</w:t>
      </w:r>
      <w:r>
        <w:rPr>
          <w:color w:val="000000"/>
          <w:sz w:val="24"/>
          <w:highlight w:val="none"/>
        </w:rPr>
        <w:t xml:space="preserve">补充、修改的内容与响应文件不一致的，以补充、修改的内容为准。</w:t>
      </w:r>
      <w:r>
        <w:rPr>
          <w:color w:val="000000"/>
          <w:sz w:val="24"/>
          <w:highlight w:val="none"/>
        </w:rPr>
      </w:r>
      <w:r/>
    </w:p>
    <w:p>
      <w:pPr>
        <w:pStyle w:val="937"/>
        <w:ind w:left="357"/>
        <w:spacing w:line="360" w:lineRule="auto"/>
        <w:tabs>
          <w:tab w:val="left" w:pos="900" w:leader="none"/>
          <w:tab w:val="left" w:pos="1080" w:leader="none"/>
          <w:tab w:val="left" w:pos="1589" w:leader="none"/>
        </w:tabs>
        <w:rPr>
          <w:color w:val="000000"/>
          <w:sz w:val="24"/>
          <w:highlight w:val="none"/>
        </w:rPr>
      </w:pPr>
      <w:r>
        <w:rPr>
          <w:color w:val="000000"/>
          <w:sz w:val="24"/>
          <w:highlight w:val="none"/>
        </w:rPr>
      </w:r>
      <w:r/>
    </w:p>
    <w:p>
      <w:pPr>
        <w:pStyle w:val="939"/>
        <w:spacing w:before="0" w:line="360" w:lineRule="auto"/>
        <w:rPr>
          <w:rFonts w:ascii="Times New Roman" w:hAnsi="Times New Roman" w:eastAsia="宋体"/>
          <w:color w:val="000000"/>
          <w:sz w:val="28"/>
          <w:highlight w:val="none"/>
        </w:rPr>
      </w:pPr>
      <w:r/>
      <w:bookmarkStart w:id="412" w:name="_Toc151190165"/>
      <w:r/>
      <w:bookmarkStart w:id="413" w:name="_Toc150480776"/>
      <w:r/>
      <w:bookmarkStart w:id="414" w:name="_Toc226965728"/>
      <w:r/>
      <w:bookmarkStart w:id="415" w:name="_Toc264969228"/>
      <w:r/>
      <w:bookmarkStart w:id="416" w:name="_Toc127151538"/>
      <w:r/>
      <w:bookmarkStart w:id="417" w:name="_Toc226965811"/>
      <w:r/>
      <w:bookmarkStart w:id="418" w:name="_Toc520356163"/>
      <w:r/>
      <w:bookmarkStart w:id="419" w:name="_Toc151193780"/>
      <w:r/>
      <w:bookmarkStart w:id="420" w:name="_Toc195842903"/>
      <w:r/>
      <w:bookmarkStart w:id="421" w:name="_Toc265228376"/>
      <w:r/>
      <w:bookmarkStart w:id="422" w:name="_Toc150774638"/>
      <w:r/>
      <w:bookmarkStart w:id="423" w:name="_Toc151193636"/>
      <w:r/>
      <w:bookmarkStart w:id="424" w:name="_Toc305158806"/>
      <w:r/>
      <w:bookmarkStart w:id="425" w:name="_Toc226337234"/>
      <w:r/>
      <w:bookmarkStart w:id="426" w:name="_Toc142311040"/>
      <w:r/>
      <w:bookmarkStart w:id="427" w:name="_Toc305158880"/>
      <w:r/>
      <w:bookmarkStart w:id="428" w:name="_Toc226309782"/>
      <w:r/>
      <w:bookmarkStart w:id="429" w:name="_Toc151193852"/>
      <w:r/>
      <w:bookmarkStart w:id="430" w:name="_Toc151193708"/>
      <w:r/>
      <w:bookmarkStart w:id="431" w:name="_Toc150509289"/>
      <w:r/>
      <w:bookmarkStart w:id="432" w:name="_Toc151193926"/>
      <w:r/>
      <w:bookmarkStart w:id="433" w:name="_Toc150774743"/>
      <w:r>
        <w:rPr>
          <w:rFonts w:ascii="Times New Roman" w:hAnsi="Times New Roman" w:eastAsia="宋体"/>
          <w:color w:val="000000"/>
          <w:sz w:val="28"/>
          <w:highlight w:val="none"/>
        </w:rPr>
        <w:t xml:space="preserve">五   </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ascii="Times New Roman" w:hAnsi="Times New Roman" w:eastAsia="宋体"/>
          <w:color w:val="000000"/>
          <w:sz w:val="28"/>
          <w:highlight w:val="none"/>
        </w:rPr>
        <w:t xml:space="preserve">评审</w:t>
      </w:r>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sz w:val="24"/>
          <w:lang w:eastAsia="zh-CN"/>
        </w:rPr>
        <w:t xml:space="preserve">“苏采云”政府采购一体化平台</w:t>
      </w:r>
      <w:r>
        <w:rPr>
          <w:rFonts w:hint="eastAsia"/>
          <w:color w:val="000000"/>
          <w:sz w:val="24"/>
          <w:highlight w:val="none"/>
        </w:rPr>
        <w:t xml:space="preserve">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34" w:name="_Toc520356165"/>
      <w:r>
        <w:rPr>
          <w:color w:val="000000"/>
          <w:sz w:val="24"/>
          <w:highlight w:val="none"/>
        </w:rPr>
        <w:t xml:space="preserve">本项目不公开报价。</w:t>
      </w:r>
      <w:r>
        <w:rPr>
          <w:rFonts w:hint="eastAsia"/>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93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93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93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937"/>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937"/>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34"/>
      <w:r>
        <w:rPr>
          <w:color w:val="000000"/>
          <w:sz w:val="24"/>
          <w:highlight w:val="none"/>
        </w:rPr>
        <w:t xml:space="preserve">磋商小组</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35" w:name="_Toc520356166"/>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35"/>
      <w:r/>
      <w:bookmarkStart w:id="436" w:name="_Toc520356169"/>
      <w:r>
        <w:rPr>
          <w:color w:val="000000"/>
          <w:sz w:val="24"/>
          <w:highlight w:val="none"/>
        </w:rPr>
      </w:r>
      <w:r/>
    </w:p>
    <w:p>
      <w:pPr>
        <w:pStyle w:val="937"/>
        <w:numPr>
          <w:ilvl w:val="0"/>
          <w:numId w:val="8"/>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937"/>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939"/>
        <w:spacing w:before="0" w:line="360" w:lineRule="auto"/>
        <w:rPr>
          <w:rFonts w:ascii="Times New Roman" w:hAnsi="Times New Roman" w:eastAsia="宋体"/>
          <w:color w:val="000000"/>
          <w:sz w:val="28"/>
          <w:highlight w:val="none"/>
        </w:rPr>
      </w:pPr>
      <w:r/>
      <w:bookmarkStart w:id="437" w:name="_Toc151193787"/>
      <w:r/>
      <w:bookmarkStart w:id="438" w:name="_Toc151193715"/>
      <w:r/>
      <w:bookmarkStart w:id="439" w:name="_Toc127151545"/>
      <w:r/>
      <w:bookmarkStart w:id="440" w:name="_Toc226309789"/>
      <w:r/>
      <w:bookmarkStart w:id="441" w:name="_Toc150509296"/>
      <w:r/>
      <w:bookmarkStart w:id="442" w:name="_Toc151193859"/>
      <w:r/>
      <w:bookmarkStart w:id="443" w:name="_Toc150774750"/>
      <w:r/>
      <w:bookmarkStart w:id="444" w:name="_Toc195842910"/>
      <w:r/>
      <w:bookmarkStart w:id="445" w:name="_Toc265228383"/>
      <w:r/>
      <w:bookmarkStart w:id="446" w:name="_Toc150480783"/>
      <w:r/>
      <w:bookmarkStart w:id="447" w:name="_Toc150774645"/>
      <w:r/>
      <w:bookmarkStart w:id="448" w:name="_Toc151190172"/>
      <w:r/>
      <w:bookmarkStart w:id="449" w:name="_Toc142311047"/>
      <w:r/>
      <w:bookmarkStart w:id="450" w:name="_Toc151193933"/>
      <w:r/>
      <w:bookmarkStart w:id="451" w:name="_Toc264969235"/>
      <w:r/>
      <w:bookmarkStart w:id="452" w:name="_Toc226965818"/>
      <w:r/>
      <w:bookmarkStart w:id="453" w:name="_Toc305158887"/>
      <w:r/>
      <w:bookmarkStart w:id="454" w:name="_Toc226337241"/>
      <w:r/>
      <w:bookmarkStart w:id="455" w:name="_Toc151193643"/>
      <w:r/>
      <w:bookmarkStart w:id="456" w:name="_Toc305158813"/>
      <w:r/>
      <w:bookmarkStart w:id="457" w:name="_Toc226965735"/>
      <w:r>
        <w:rPr>
          <w:rFonts w:ascii="Times New Roman" w:hAnsi="Times New Roman" w:eastAsia="宋体"/>
          <w:color w:val="000000"/>
          <w:sz w:val="28"/>
          <w:highlight w:val="none"/>
        </w:rPr>
        <w:t xml:space="preserve">六   </w:t>
      </w:r>
      <w:bookmarkEnd w:id="436"/>
      <w:r>
        <w:rPr>
          <w:rFonts w:ascii="Times New Roman" w:hAnsi="Times New Roman" w:eastAsia="宋体"/>
          <w:color w:val="000000"/>
          <w:sz w:val="28"/>
          <w:highlight w:val="none"/>
        </w:rPr>
        <w:t xml:space="preserve">确定</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rFonts w:ascii="Times New Roman" w:hAnsi="Times New Roman" w:eastAsia="宋体"/>
          <w:color w:val="000000"/>
          <w:sz w:val="28"/>
          <w:highlight w:val="none"/>
        </w:rPr>
        <w:t xml:space="preserve">成交</w:t>
      </w:r>
      <w:r>
        <w:rPr>
          <w:rFonts w:ascii="Times New Roman" w:hAnsi="Times New Roman" w:eastAsia="宋体"/>
          <w:color w:val="000000"/>
          <w:sz w:val="28"/>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58" w:name="_Toc151190174"/>
      <w:r/>
      <w:bookmarkStart w:id="459" w:name="_Toc142311049"/>
      <w:r/>
      <w:bookmarkStart w:id="460" w:name="_Toc151193861"/>
      <w:r/>
      <w:bookmarkStart w:id="461" w:name="_Toc149720840"/>
      <w:r/>
      <w:bookmarkStart w:id="462" w:name="_Toc164608661"/>
      <w:r/>
      <w:bookmarkStart w:id="463" w:name="_Toc150480785"/>
      <w:r/>
      <w:bookmarkStart w:id="464" w:name="_Toc151193935"/>
      <w:r/>
      <w:bookmarkStart w:id="465" w:name="_Toc264969237"/>
      <w:r/>
      <w:bookmarkStart w:id="466" w:name="_Toc195842912"/>
      <w:r/>
      <w:bookmarkStart w:id="467" w:name="_Toc164229242"/>
      <w:r/>
      <w:bookmarkStart w:id="468" w:name="_Toc127151547"/>
      <w:r/>
      <w:bookmarkStart w:id="469" w:name="_Toc164229388"/>
      <w:r/>
      <w:bookmarkStart w:id="470" w:name="_Toc127151748"/>
      <w:r/>
      <w:bookmarkStart w:id="471" w:name="_Toc164608816"/>
      <w:r/>
      <w:bookmarkStart w:id="472" w:name="_Toc151193789"/>
      <w:r/>
      <w:bookmarkStart w:id="473" w:name="_Toc127161461"/>
      <w:r/>
      <w:bookmarkStart w:id="474" w:name="_Toc265228385"/>
      <w:r/>
      <w:bookmarkStart w:id="475" w:name="_Toc150774647"/>
      <w:r/>
      <w:bookmarkStart w:id="476" w:name="_Toc305158815"/>
      <w:r/>
      <w:bookmarkStart w:id="477" w:name="_Toc164351641"/>
      <w:r/>
      <w:bookmarkStart w:id="478" w:name="_Toc226965737"/>
      <w:r/>
      <w:bookmarkStart w:id="479" w:name="_Toc226309791"/>
      <w:r/>
      <w:bookmarkStart w:id="480" w:name="_Toc305158889"/>
      <w:r/>
      <w:bookmarkStart w:id="481" w:name="_Toc226337243"/>
      <w:r/>
      <w:bookmarkStart w:id="482" w:name="_Toc151193717"/>
      <w:r/>
      <w:bookmarkStart w:id="483" w:name="_Toc226965820"/>
      <w:r/>
      <w:bookmarkStart w:id="484" w:name="_Toc151193645"/>
      <w:r/>
      <w:bookmarkStart w:id="485" w:name="_Toc150774752"/>
      <w:r/>
      <w:bookmarkStart w:id="486" w:name="_Toc150509298"/>
      <w:r>
        <w:rPr>
          <w:color w:val="000000"/>
          <w:sz w:val="24"/>
          <w:highlight w:val="none"/>
        </w:rPr>
        <w:t xml:space="preserve">确定成交供应商</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采购人将在收到评审报告后，从评审报告提出的成交候选供应商中，按照排序由高到低的原则确定成交供应商</w:t>
      </w:r>
      <w:r>
        <w:rPr>
          <w:rFonts w:hint="eastAsia"/>
          <w:color w:val="000000"/>
          <w:sz w:val="24"/>
          <w:highlight w:val="none"/>
        </w:rPr>
        <w:t xml:space="preserve">。</w:t>
      </w:r>
      <w:r>
        <w:rPr>
          <w:color w:val="000000"/>
          <w:sz w:val="24"/>
          <w:highlight w:val="none"/>
        </w:rPr>
        <w:t xml:space="preserve">成交候选人并列的，由采购人</w:t>
      </w:r>
      <w:r>
        <w:rPr>
          <w:rFonts w:hint="eastAsia"/>
          <w:color w:val="000000"/>
          <w:sz w:val="24"/>
          <w:highlight w:val="none"/>
        </w:rPr>
        <w:t xml:space="preserve">依法</w:t>
      </w:r>
      <w:r>
        <w:rPr>
          <w:color w:val="000000"/>
          <w:sz w:val="24"/>
          <w:highlight w:val="none"/>
        </w:rPr>
        <w:t xml:space="preserve">确定。</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87" w:name="_Toc127151549"/>
      <w:r/>
      <w:bookmarkStart w:id="488" w:name="_Toc226965739"/>
      <w:r/>
      <w:bookmarkStart w:id="489" w:name="_Toc149720842"/>
      <w:r/>
      <w:bookmarkStart w:id="490" w:name="_Toc305158891"/>
      <w:r/>
      <w:bookmarkStart w:id="491" w:name="_Toc164229244"/>
      <w:r/>
      <w:bookmarkStart w:id="492" w:name="_Toc150480787"/>
      <w:r/>
      <w:bookmarkStart w:id="493" w:name="_Toc150774649"/>
      <w:r/>
      <w:bookmarkStart w:id="494" w:name="_Toc151190176"/>
      <w:r/>
      <w:bookmarkStart w:id="495" w:name="_Toc142311051"/>
      <w:r/>
      <w:bookmarkStart w:id="496" w:name="_Toc164351643"/>
      <w:r/>
      <w:bookmarkStart w:id="497" w:name="_Toc151193647"/>
      <w:r/>
      <w:bookmarkStart w:id="498" w:name="_Toc264969239"/>
      <w:r/>
      <w:bookmarkStart w:id="499" w:name="_Toc164608663"/>
      <w:r/>
      <w:bookmarkStart w:id="500" w:name="_Toc164608818"/>
      <w:r/>
      <w:bookmarkStart w:id="501" w:name="_Toc151193791"/>
      <w:r/>
      <w:bookmarkStart w:id="502" w:name="_Ref467306425"/>
      <w:r/>
      <w:bookmarkStart w:id="503" w:name="_Toc520356176"/>
      <w:r/>
      <w:bookmarkStart w:id="504" w:name="_Toc226337245"/>
      <w:r/>
      <w:bookmarkStart w:id="505" w:name="_Toc195842914"/>
      <w:r/>
      <w:bookmarkStart w:id="506" w:name="_Toc226309793"/>
      <w:r/>
      <w:bookmarkStart w:id="507" w:name="_Toc265228387"/>
      <w:r/>
      <w:bookmarkStart w:id="508" w:name="_Toc150509300"/>
      <w:r/>
      <w:bookmarkStart w:id="509" w:name="_Toc127161463"/>
      <w:r/>
      <w:bookmarkStart w:id="510" w:name="_Toc151193863"/>
      <w:r/>
      <w:bookmarkStart w:id="511" w:name="_Toc226965822"/>
      <w:r/>
      <w:bookmarkStart w:id="512" w:name="_Toc151193937"/>
      <w:r/>
      <w:bookmarkStart w:id="513" w:name="_Toc127151750"/>
      <w:r/>
      <w:bookmarkStart w:id="514" w:name="_Toc164229390"/>
      <w:r/>
      <w:bookmarkStart w:id="515" w:name="_Toc305158817"/>
      <w:r/>
      <w:bookmarkStart w:id="516" w:name="_Toc150774754"/>
      <w:r/>
      <w:bookmarkStart w:id="517" w:name="_Toc151193719"/>
      <w:r/>
      <w:bookmarkStart w:id="518" w:name="_Ref467307090"/>
      <w:r>
        <w:rPr>
          <w:color w:val="000000"/>
          <w:sz w:val="24"/>
          <w:highlight w:val="none"/>
        </w:rPr>
        <w:t xml:space="preserve">成交公告与成交通知书</w:t>
      </w:r>
      <w:bookmarkEnd w:id="490"/>
      <w:r/>
      <w:bookmarkEnd w:id="515"/>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w:t>
      </w:r>
      <w:r>
        <w:rPr>
          <w:color w:val="000000"/>
          <w:sz w:val="24"/>
          <w:highlight w:val="none"/>
        </w:rPr>
        <w:t xml:space="preserve">在成交供应商确定后2个工作日内，在</w:t>
      </w:r>
      <w:r>
        <w:rPr>
          <w:rFonts w:hint="eastAsia"/>
          <w:color w:val="000000"/>
          <w:sz w:val="24"/>
          <w:highlight w:val="none"/>
        </w:rPr>
        <w:t xml:space="preserve">常州市政府采购网</w:t>
      </w:r>
      <w:r>
        <w:rPr>
          <w:rFonts w:hint="eastAsia"/>
          <w:sz w:val="24"/>
          <w:lang w:val="en-US" w:eastAsia="zh-CN"/>
        </w:rPr>
        <w:t xml:space="preserve">/江苏政府购买服务信息平台</w:t>
      </w:r>
      <w:r>
        <w:rPr>
          <w:color w:val="000000"/>
          <w:sz w:val="24"/>
          <w:highlight w:val="none"/>
        </w:rPr>
        <w:t xml:space="preserve">公告成交结果，同时向成交供应商发出成交通知书，</w:t>
      </w:r>
      <w:r>
        <w:rPr>
          <w:color w:val="000000"/>
          <w:sz w:val="24"/>
          <w:highlight w:val="none"/>
        </w:rPr>
        <w:t xml:space="preserve">成交公告期限为1个工作日。</w:t>
      </w:r>
      <w:r>
        <w:rPr>
          <w:color w:val="000000"/>
          <w:sz w:val="24"/>
          <w:highlight w:val="none"/>
        </w:rPr>
      </w:r>
      <w:r/>
    </w:p>
    <w:p>
      <w:pPr>
        <w:pStyle w:val="937"/>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终止</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在采购中，出现下列情形之一的，采购人或采购代理机构将终止竞争性磋商采购活动，发布项目终止公告并说明原因，重新开展采购活动：</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因情况变化，不再符合规定的竞争性磋商采购方式适用情形的；</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937"/>
        <w:numPr>
          <w:ilvl w:val="2"/>
          <w:numId w:val="8"/>
        </w:numPr>
        <w:spacing w:line="360" w:lineRule="auto"/>
        <w:tabs>
          <w:tab w:val="left" w:pos="1980" w:leader="none"/>
        </w:tabs>
        <w:rPr>
          <w:rFonts w:hint="eastAsia"/>
          <w:color w:val="000000"/>
          <w:sz w:val="24"/>
          <w:highlight w:val="none"/>
        </w:rPr>
      </w:pPr>
      <w:r>
        <w:rPr>
          <w:color w:val="000000"/>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sz w:val="24"/>
          <w:highlight w:val="none"/>
        </w:rPr>
      </w:r>
      <w:r/>
    </w:p>
    <w:p>
      <w:pPr>
        <w:pStyle w:val="937"/>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End w:id="487"/>
      <w:r/>
      <w:bookmarkEnd w:id="488"/>
      <w:r/>
      <w:bookmarkEnd w:id="489"/>
      <w:r/>
      <w:bookmarkEnd w:id="491"/>
      <w:r/>
      <w:bookmarkEnd w:id="492"/>
      <w:r/>
      <w:bookmarkEnd w:id="493"/>
      <w:r/>
      <w:bookmarkEnd w:id="494"/>
      <w:r/>
      <w:bookmarkEnd w:id="495"/>
      <w:r/>
      <w:bookmarkEnd w:id="496"/>
      <w:r/>
      <w:bookmarkEnd w:id="497"/>
      <w:r/>
      <w:bookmarkEnd w:id="498"/>
      <w:r/>
      <w:bookmarkEnd w:id="499"/>
      <w:r/>
      <w:bookmarkEnd w:id="500"/>
      <w:r/>
      <w:bookmarkEnd w:id="501"/>
      <w:r/>
      <w:bookmarkEnd w:id="504"/>
      <w:r/>
      <w:bookmarkEnd w:id="505"/>
      <w:r/>
      <w:bookmarkEnd w:id="506"/>
      <w:r/>
      <w:bookmarkEnd w:id="507"/>
      <w:r/>
      <w:bookmarkEnd w:id="508"/>
      <w:r/>
      <w:bookmarkEnd w:id="509"/>
      <w:r/>
      <w:bookmarkEnd w:id="510"/>
      <w:r/>
      <w:bookmarkEnd w:id="511"/>
      <w:r/>
      <w:bookmarkEnd w:id="512"/>
      <w:r/>
      <w:bookmarkEnd w:id="513"/>
      <w:r/>
      <w:bookmarkEnd w:id="514"/>
      <w:r/>
      <w:bookmarkEnd w:id="516"/>
      <w:r/>
      <w:bookmarkEnd w:id="517"/>
      <w:r/>
      <w:bookmarkStart w:id="519" w:name="_Toc150509301"/>
      <w:r/>
      <w:bookmarkStart w:id="520" w:name="_Toc150480788"/>
      <w:r/>
      <w:bookmarkStart w:id="521" w:name="_Toc164351644"/>
      <w:r/>
      <w:bookmarkStart w:id="522" w:name="_Toc127151550"/>
      <w:r/>
      <w:bookmarkStart w:id="523" w:name="_Toc164229391"/>
      <w:r/>
      <w:bookmarkStart w:id="524" w:name="_Toc151193648"/>
      <w:r/>
      <w:bookmarkStart w:id="525" w:name="_Toc226309794"/>
      <w:r/>
      <w:bookmarkStart w:id="526" w:name="_Toc149720843"/>
      <w:r/>
      <w:bookmarkStart w:id="527" w:name="_Toc151190177"/>
      <w:r/>
      <w:bookmarkStart w:id="528" w:name="_Toc164229245"/>
      <w:r/>
      <w:bookmarkStart w:id="529" w:name="_Ref467306377"/>
      <w:r/>
      <w:bookmarkStart w:id="530" w:name="_Toc142311052"/>
      <w:r/>
      <w:bookmarkStart w:id="531" w:name="_Toc164608819"/>
      <w:r/>
      <w:bookmarkStart w:id="532" w:name="_Toc151193792"/>
      <w:r/>
      <w:bookmarkStart w:id="533" w:name="_Toc127151751"/>
      <w:r/>
      <w:bookmarkStart w:id="534" w:name="_Ref467307204"/>
      <w:r/>
      <w:bookmarkStart w:id="535" w:name="_Toc150774755"/>
      <w:r/>
      <w:bookmarkStart w:id="536" w:name="_Toc151193864"/>
      <w:r/>
      <w:bookmarkStart w:id="537" w:name="_Toc127161464"/>
      <w:r/>
      <w:bookmarkStart w:id="538" w:name="_Ref467306978"/>
      <w:r/>
      <w:bookmarkStart w:id="539" w:name="_Toc520356175"/>
      <w:r/>
      <w:bookmarkStart w:id="540" w:name="_Toc151193938"/>
      <w:r/>
      <w:bookmarkStart w:id="541" w:name="_Toc195842915"/>
      <w:r/>
      <w:bookmarkStart w:id="542" w:name="_Toc226965740"/>
      <w:r/>
      <w:bookmarkStart w:id="543" w:name="_Toc264969240"/>
      <w:r/>
      <w:bookmarkStart w:id="544" w:name="_Toc151193720"/>
      <w:r/>
      <w:bookmarkStart w:id="545" w:name="_Toc150774650"/>
      <w:r/>
      <w:bookmarkStart w:id="546" w:name="_Toc305158892"/>
      <w:r/>
      <w:bookmarkStart w:id="547" w:name="_Toc305158818"/>
      <w:r/>
      <w:bookmarkStart w:id="548" w:name="_Toc164608664"/>
      <w:r/>
      <w:bookmarkStart w:id="549" w:name="_Toc265228388"/>
      <w:r/>
      <w:bookmarkStart w:id="550" w:name="_Ref467307062"/>
      <w:r/>
      <w:bookmarkStart w:id="551" w:name="_Toc226337246"/>
      <w:r/>
      <w:bookmarkStart w:id="552" w:name="_Toc226965823"/>
      <w:r>
        <w:rPr>
          <w:color w:val="000000"/>
          <w:sz w:val="24"/>
          <w:highlight w:val="none"/>
        </w:rPr>
        <w:t xml:space="preserve">签订合同</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联合体获得成交资格的，联合体各方应当共同与采购人签订合同，就成交项目向采购人承担连带责任。</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采购人允许采用分包方式履行合同的，成交供应商可以依法采取分包方式履行合同。本项目</w:t>
      </w:r>
      <w:r>
        <w:rPr>
          <w:rFonts w:hint="eastAsia"/>
          <w:color w:val="000000"/>
          <w:sz w:val="24"/>
          <w:highlight w:val="none"/>
        </w:rPr>
        <w:t xml:space="preserve">是</w:t>
      </w:r>
      <w:r>
        <w:rPr>
          <w:color w:val="000000"/>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sz w:val="24"/>
          <w:highlight w:val="none"/>
        </w:rPr>
        <w:t xml:space="preserve">否则响应无效</w:t>
      </w:r>
      <w:r>
        <w:rPr>
          <w:color w:val="000000"/>
          <w:sz w:val="24"/>
          <w:highlight w:val="none"/>
        </w:rPr>
        <w:t xml:space="preserve">。成交供应商就采购项目和分包项目向采购人负责，分包供应商就分包项目承担责任。</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02"/>
      <w:r/>
      <w:bookmarkEnd w:id="503"/>
      <w:r/>
      <w:bookmarkEnd w:id="518"/>
      <w:r>
        <w:rPr>
          <w:color w:val="000000"/>
          <w:sz w:val="24"/>
          <w:highlight w:val="none"/>
        </w:rPr>
        <w:t xml:space="preserve">询问与质疑</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供应商对政府采购活动事项有疑问的，可依法提出询问，并按《供应商须知资料表》载明的形式送达采购人或采购代理机构。</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rFonts w:hint="eastAsia"/>
          <w:b/>
          <w:color w:val="000000"/>
          <w:sz w:val="24"/>
          <w:highlight w:val="none"/>
        </w:rPr>
        <w:t xml:space="preserve">磋商文件</w:t>
      </w:r>
      <w:r>
        <w:rPr>
          <w:rFonts w:hint="eastAsia" w:ascii="宋体" w:hAnsi="宋体"/>
          <w:b/>
          <w:color w:val="000000"/>
          <w:sz w:val="24"/>
          <w:highlight w:val="none"/>
        </w:rPr>
        <w:t xml:space="preserve">中采购需求以及相关部分（第四章、第五章以及供应商资格要求）由采购人负责制定和管理，对该部分内容有询问或者质疑的，供应商应当向采购人书面</w:t>
      </w:r>
      <w:r>
        <w:rPr>
          <w:rFonts w:hint="eastAsia" w:ascii="宋体" w:hAnsi="宋体"/>
          <w:b/>
          <w:color w:val="000000"/>
          <w:sz w:val="24"/>
          <w:highlight w:val="none"/>
          <w:lang w:val="en-US" w:eastAsia="zh-CN"/>
        </w:rPr>
        <w:t xml:space="preserve">一次性</w:t>
      </w:r>
      <w:r>
        <w:rPr>
          <w:rFonts w:hint="eastAsia" w:ascii="宋体" w:hAnsi="宋体"/>
          <w:b/>
          <w:color w:val="000000"/>
          <w:sz w:val="24"/>
          <w:highlight w:val="none"/>
        </w:rPr>
        <w:t xml:space="preserve">提出，由采购人负责接收和回复。</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sz w:val="24"/>
          <w:highlight w:val="none"/>
        </w:rPr>
        <w:fldChar w:fldCharType="begin"/>
      </w:r>
      <w:r>
        <w:rPr>
          <w:color w:val="000000"/>
          <w:sz w:val="24"/>
          <w:highlight w:val="none"/>
        </w:rPr>
        <w:instrText xml:space="preserve"> HYPERLINK "http://gks.mof.gov.cn/ztztz/zhengfucaigouguanli/201802/t20180201_2804589.htm" </w:instrText>
      </w:r>
      <w:r>
        <w:rPr>
          <w:color w:val="000000"/>
          <w:sz w:val="24"/>
          <w:highlight w:val="none"/>
        </w:rPr>
        <w:fldChar w:fldCharType="separate"/>
      </w:r>
      <w:r>
        <w:rPr>
          <w:color w:val="000000"/>
          <w:sz w:val="24"/>
          <w:highlight w:val="none"/>
        </w:rPr>
        <w:t xml:space="preserve">http://gk</w:t>
      </w:r>
      <w:bookmarkStart w:id="553" w:name="_Hlt100654014"/>
      <w:r>
        <w:rPr>
          <w:color w:val="000000"/>
          <w:sz w:val="24"/>
          <w:highlight w:val="none"/>
        </w:rPr>
        <w:t xml:space="preserve">s</w:t>
      </w:r>
      <w:bookmarkEnd w:id="553"/>
      <w:r>
        <w:rPr>
          <w:color w:val="000000"/>
          <w:sz w:val="24"/>
          <w:highlight w:val="none"/>
        </w:rPr>
        <w:t xml:space="preserve">.m</w:t>
      </w:r>
      <w:bookmarkStart w:id="554" w:name="_Hlt100653994"/>
      <w:r/>
      <w:bookmarkStart w:id="555" w:name="_Hlt100653993"/>
      <w:r>
        <w:rPr>
          <w:color w:val="000000"/>
          <w:sz w:val="24"/>
          <w:highlight w:val="none"/>
        </w:rPr>
        <w:t xml:space="preserve">o</w:t>
      </w:r>
      <w:bookmarkEnd w:id="554"/>
      <w:r/>
      <w:bookmarkEnd w:id="555"/>
      <w:r/>
      <w:bookmarkStart w:id="556" w:name="_Hlt101169156"/>
      <w:r>
        <w:rPr>
          <w:color w:val="000000"/>
          <w:sz w:val="24"/>
          <w:highlight w:val="none"/>
        </w:rPr>
        <w:t xml:space="preserve">f</w:t>
      </w:r>
      <w:bookmarkEnd w:id="556"/>
      <w:r>
        <w:rPr>
          <w:color w:val="000000"/>
          <w:sz w:val="24"/>
          <w:highlight w:val="none"/>
        </w:rPr>
        <w:t xml:space="preserve">.gov.cn/ztztz/zhengfucaigouguanli/201802/t20180201_2804589.htm</w:t>
      </w:r>
      <w:r>
        <w:rPr>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供应商为自然人的，应当由本人签字；供应商为法人或者其他组织的，应当由法定代表人、主要负责人，或者其授权代表签字或者盖章，并加盖公章。</w:t>
      </w:r>
      <w:r>
        <w:rPr>
          <w:color w:val="000000"/>
          <w:sz w:val="24"/>
          <w:highlight w:val="none"/>
        </w:rPr>
      </w:r>
      <w:r/>
    </w:p>
    <w:p>
      <w:pPr>
        <w:pStyle w:val="937"/>
        <w:numPr>
          <w:ilvl w:val="2"/>
          <w:numId w:val="8"/>
        </w:numPr>
        <w:spacing w:line="360" w:lineRule="auto"/>
        <w:tabs>
          <w:tab w:val="left" w:pos="1980" w:leader="none"/>
        </w:tabs>
        <w:rPr>
          <w:color w:val="000000"/>
          <w:sz w:val="24"/>
          <w:highlight w:val="none"/>
        </w:rPr>
      </w:pPr>
      <w:r>
        <w:rPr>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接收询问和质疑的联系部门、联系电话和通讯地址见《供应商须知资料表》</w:t>
      </w:r>
      <w:r>
        <w:rPr>
          <w:rFonts w:hint="eastAsia"/>
          <w:color w:val="000000"/>
          <w:sz w:val="24"/>
          <w:highlight w:val="none"/>
        </w:rPr>
        <w:t xml:space="preserve">。</w:t>
      </w:r>
      <w:r>
        <w:rPr>
          <w:color w:val="000000"/>
          <w:sz w:val="24"/>
          <w:highlight w:val="none"/>
        </w:rPr>
      </w:r>
      <w:r/>
    </w:p>
    <w:p>
      <w:pPr>
        <w:pStyle w:val="937"/>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937"/>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收费对象、收费标准及缴纳时间见《供应商须知资料表》。由成交供应商支付的，成交供应商须一次性向采购代理机构缴纳代理费，报价应包含代理费用。</w:t>
      </w:r>
      <w:bookmarkStart w:id="557" w:name="_Toc226337250"/>
      <w:r/>
      <w:bookmarkStart w:id="558" w:name="_Toc305158822"/>
      <w:r/>
      <w:bookmarkStart w:id="559" w:name="_Toc353825544"/>
      <w:r/>
      <w:bookmarkStart w:id="560" w:name="_Toc265228392"/>
      <w:r/>
      <w:bookmarkStart w:id="561" w:name="_Toc150480792"/>
      <w:r/>
      <w:bookmarkStart w:id="562" w:name="_Toc127151554"/>
      <w:r/>
      <w:bookmarkStart w:id="563" w:name="_Toc226965827"/>
      <w:r/>
      <w:bookmarkStart w:id="564" w:name="_Toc353873664"/>
      <w:r/>
      <w:bookmarkStart w:id="565" w:name="_Toc353873934"/>
      <w:r/>
      <w:bookmarkStart w:id="566" w:name="_Toc264969244"/>
      <w:r/>
      <w:bookmarkStart w:id="567" w:name="_Toc142311056"/>
      <w:r/>
      <w:bookmarkStart w:id="568" w:name="_Toc305158896"/>
      <w:r/>
      <w:bookmarkStart w:id="569" w:name="_Toc150774759"/>
      <w:r>
        <w:rPr>
          <w:color w:val="000000"/>
          <w:sz w:val="24"/>
          <w:highlight w:val="none"/>
        </w:rPr>
      </w:r>
      <w:r/>
    </w:p>
    <w:p>
      <w:pPr>
        <w:pStyle w:val="937"/>
        <w:ind w:firstLine="240"/>
        <w:jc w:val="left"/>
        <w:keepLines w:val="0"/>
        <w:keepNext w:val="0"/>
        <w:pageBreakBefore w:val="0"/>
        <w:spacing w:line="360" w:lineRule="auto"/>
        <w:rPr>
          <w:rFonts w:hint="eastAsia" w:ascii="宋体" w:hAnsi="宋体" w:eastAsia="宋体" w:cs="宋体"/>
          <w:sz w:val="24"/>
          <w:szCs w:val="24"/>
        </w:rPr>
      </w:pPr>
      <w:r>
        <w:rPr>
          <w:rFonts w:hint="eastAsia"/>
          <w:color w:val="000000"/>
          <w:sz w:val="24"/>
          <w:highlight w:val="none"/>
          <w:lang w:val="en-US" w:eastAsia="zh-CN"/>
        </w:rPr>
        <w:t xml:space="preserve">26 </w:t>
      </w:r>
      <w:r>
        <w:rPr>
          <w:rFonts w:hint="eastAsia" w:ascii="宋体" w:hAnsi="宋体" w:eastAsia="宋体" w:cs="宋体"/>
          <w:sz w:val="24"/>
          <w:szCs w:val="24"/>
        </w:rPr>
        <w:t xml:space="preserve">电子履约保函</w:t>
      </w:r>
      <w:r>
        <w:rPr>
          <w:rFonts w:hint="eastAsia" w:ascii="宋体" w:hAnsi="宋体" w:eastAsia="宋体" w:cs="宋体"/>
          <w:sz w:val="24"/>
          <w:szCs w:val="24"/>
        </w:rPr>
      </w:r>
      <w:r/>
    </w:p>
    <w:p>
      <w:pPr>
        <w:pStyle w:val="937"/>
        <w:ind w:firstLine="720"/>
        <w:jc w:val="left"/>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年</w:t>
      </w:r>
      <w:r>
        <w:rPr>
          <w:rFonts w:hint="eastAsia" w:ascii="宋体" w:hAnsi="宋体" w:eastAsia="宋体" w:cs="宋体"/>
          <w:sz w:val="24"/>
          <w:szCs w:val="24"/>
        </w:rPr>
        <w:t xml:space="preserve">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宋体" w:hAnsi="宋体" w:eastAsia="宋体" w:cs="宋体"/>
          <w:sz w:val="24"/>
          <w:szCs w:val="24"/>
          <w:lang w:eastAsia="zh-CN"/>
        </w:rPr>
      </w:r>
      <w:r/>
    </w:p>
    <w:p>
      <w:pPr>
        <w:pStyle w:val="937"/>
        <w:numPr>
          <w:ilvl w:val="0"/>
          <w:numId w:val="0"/>
        </w:numPr>
        <w:jc w:val="both"/>
        <w:spacing w:line="360" w:lineRule="auto"/>
        <w:widowControl w:val="off"/>
        <w:tabs>
          <w:tab w:val="left" w:pos="1080" w:leader="none"/>
          <w:tab w:val="left" w:pos="2014" w:leader="none"/>
        </w:tabs>
        <w:rPr>
          <w:rFonts w:eastAsia="宋体"/>
          <w:color w:val="000000"/>
          <w:sz w:val="24"/>
          <w:highlight w:val="none"/>
          <w:lang w:val="en-US" w:eastAsia="zh-CN"/>
        </w:rPr>
        <w:sectPr>
          <w:footerReference w:type="even" r:id="rId13"/>
          <w:footnotePr/>
          <w:endnotePr/>
          <w:type w:val="nextPage"/>
          <w:pgSz w:w="11907" w:h="16840" w:orient="portrait"/>
          <w:pgMar w:top="1440" w:right="1304" w:bottom="1440" w:left="1304" w:header="851" w:footer="851" w:gutter="0"/>
          <w:cols w:num="1" w:sep="0" w:space="1701" w:equalWidth="1"/>
          <w:docGrid w:linePitch="360"/>
        </w:sectPr>
      </w:pPr>
      <w:r>
        <w:rPr>
          <w:rFonts w:eastAsia="宋体"/>
          <w:color w:val="000000"/>
          <w:sz w:val="24"/>
          <w:highlight w:val="none"/>
          <w:lang w:val="en-US" w:eastAsia="zh-CN"/>
        </w:rPr>
      </w:r>
      <w:r/>
    </w:p>
    <w:p>
      <w:pPr>
        <w:pStyle w:val="937"/>
        <w:jc w:val="center"/>
        <w:spacing w:line="360" w:lineRule="auto"/>
        <w:rPr>
          <w:b/>
          <w:color w:val="000000"/>
          <w:sz w:val="36"/>
          <w:szCs w:val="36"/>
          <w:highlight w:val="none"/>
        </w:rPr>
        <w:outlineLvl w:val="0"/>
      </w:pPr>
      <w:r/>
      <w:bookmarkStart w:id="570" w:name="_Toc30522"/>
      <w:r>
        <w:rPr>
          <w:b/>
          <w:color w:val="000000"/>
          <w:sz w:val="36"/>
          <w:szCs w:val="36"/>
          <w:highlight w:val="none"/>
        </w:rPr>
        <w:t xml:space="preserve">第三章   </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70"/>
      <w:r/>
      <w:bookmarkStart w:id="571" w:name="_Toc487900382"/>
      <w:r>
        <w:rPr>
          <w:b/>
          <w:color w:val="000000"/>
          <w:sz w:val="36"/>
          <w:szCs w:val="36"/>
          <w:highlight w:val="none"/>
        </w:rPr>
      </w:r>
      <w:r/>
    </w:p>
    <w:p>
      <w:pPr>
        <w:pStyle w:val="939"/>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w:t>
      </w:r>
      <w:r>
        <w:rPr>
          <w:rFonts w:hint="eastAsia" w:ascii="Times New Roman" w:hAnsi="Times New Roman" w:eastAsia="宋体"/>
          <w:color w:val="000000"/>
          <w:sz w:val="24"/>
          <w:szCs w:val="24"/>
          <w:highlight w:val="none"/>
        </w:rPr>
        <w:t xml:space="preserve">评审</w:t>
      </w:r>
      <w:r>
        <w:rPr>
          <w:rFonts w:ascii="Times New Roman" w:hAnsi="Times New Roman" w:eastAsia="宋体"/>
          <w:color w:val="000000"/>
          <w:sz w:val="24"/>
          <w:szCs w:val="24"/>
          <w:highlight w:val="none"/>
        </w:rPr>
        <w:t xml:space="preserve">程序</w:t>
      </w:r>
      <w:r>
        <w:rPr>
          <w:rFonts w:ascii="Times New Roman" w:hAnsi="Times New Roman" w:eastAsia="宋体"/>
          <w:color w:val="000000"/>
          <w:sz w:val="24"/>
          <w:szCs w:val="24"/>
          <w:highlight w:val="none"/>
        </w:rPr>
      </w:r>
      <w:r/>
    </w:p>
    <w:p>
      <w:pPr>
        <w:pStyle w:val="937"/>
        <w:jc w:val="left"/>
        <w:tabs>
          <w:tab w:val="left" w:pos="1080" w:leader="none"/>
        </w:tabs>
        <w:rPr>
          <w:b/>
          <w:color w:val="000000"/>
          <w:sz w:val="24"/>
          <w:highlight w:val="none"/>
        </w:rPr>
      </w:pPr>
      <w:r>
        <w:rPr>
          <w:b/>
          <w:color w:val="000000"/>
          <w:sz w:val="24"/>
          <w:highlight w:val="none"/>
        </w:rPr>
        <w:tab/>
      </w:r>
      <w:r>
        <w:rPr>
          <w:b/>
          <w:color w:val="000000"/>
          <w:sz w:val="24"/>
          <w:highlight w:val="none"/>
        </w:rPr>
      </w:r>
      <w:r/>
    </w:p>
    <w:p>
      <w:pPr>
        <w:pStyle w:val="937"/>
        <w:numPr>
          <w:ilvl w:val="0"/>
          <w:numId w:val="11"/>
        </w:numPr>
        <w:spacing w:line="360" w:lineRule="auto"/>
        <w:tabs>
          <w:tab w:val="left" w:pos="360" w:leader="none"/>
          <w:tab w:val="left" w:pos="900" w:leader="none"/>
        </w:tabs>
        <w:rPr>
          <w:color w:val="000000"/>
          <w:sz w:val="24"/>
          <w:highlight w:val="none"/>
        </w:rPr>
        <w:outlineLvl w:val="1"/>
      </w:pPr>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71"/>
      <w:r/>
      <w:bookmarkStart w:id="572" w:name="_Toc164229236"/>
      <w:r/>
      <w:bookmarkStart w:id="573" w:name="_Toc151193855"/>
      <w:r/>
      <w:bookmarkStart w:id="574" w:name="_Toc151193639"/>
      <w:r/>
      <w:bookmarkStart w:id="575" w:name="_Toc142311043"/>
      <w:r/>
      <w:bookmarkStart w:id="576" w:name="_Toc127161455"/>
      <w:r/>
      <w:bookmarkStart w:id="577" w:name="_Toc226337237"/>
      <w:r/>
      <w:bookmarkStart w:id="578" w:name="_Toc151193929"/>
      <w:r/>
      <w:bookmarkStart w:id="579" w:name="_Toc150480779"/>
      <w:r/>
      <w:bookmarkStart w:id="580" w:name="_Toc151193711"/>
      <w:r/>
      <w:bookmarkStart w:id="581" w:name="_Toc265228379"/>
      <w:r/>
      <w:bookmarkStart w:id="582" w:name="_Toc226965731"/>
      <w:r/>
      <w:bookmarkStart w:id="583" w:name="_Toc164229382"/>
      <w:r/>
      <w:bookmarkStart w:id="584" w:name="_Toc151190168"/>
      <w:r/>
      <w:bookmarkStart w:id="585" w:name="_Toc164351635"/>
      <w:r/>
      <w:bookmarkStart w:id="586" w:name="_Toc150509292"/>
      <w:r/>
      <w:bookmarkStart w:id="587" w:name="_Toc164608655"/>
      <w:r/>
      <w:bookmarkStart w:id="588" w:name="_Toc305158883"/>
      <w:r/>
      <w:bookmarkStart w:id="589" w:name="_Toc151193783"/>
      <w:r/>
      <w:bookmarkStart w:id="590" w:name="_Toc150774641"/>
      <w:r/>
      <w:bookmarkStart w:id="591" w:name="_Toc226965814"/>
      <w:r/>
      <w:bookmarkStart w:id="592" w:name="_Toc305158809"/>
      <w:r/>
      <w:bookmarkStart w:id="593" w:name="_Toc127151541"/>
      <w:r/>
      <w:bookmarkStart w:id="594" w:name="_Toc264969231"/>
      <w:r/>
      <w:bookmarkStart w:id="595" w:name="_Toc149720834"/>
      <w:r/>
      <w:bookmarkStart w:id="596" w:name="_Toc164608810"/>
      <w:r/>
      <w:bookmarkStart w:id="597" w:name="_Toc226309785"/>
      <w:r/>
      <w:bookmarkStart w:id="598" w:name="_Toc127151742"/>
      <w:r/>
      <w:bookmarkStart w:id="599" w:name="_Toc195842906"/>
      <w:r/>
      <w:bookmarkStart w:id="600" w:name="_Toc150774746"/>
      <w:r/>
      <w:bookmarkStart w:id="601" w:name="_Toc195842920"/>
      <w:r/>
      <w:bookmarkStart w:id="602" w:name="_Toc353825551"/>
      <w:r/>
      <w:bookmarkStart w:id="603" w:name="_Toc353873941"/>
      <w:r/>
      <w:bookmarkStart w:id="604" w:name="_Toc226337251"/>
      <w:r/>
      <w:bookmarkStart w:id="605" w:name="_Toc127151555"/>
      <w:r/>
      <w:bookmarkStart w:id="606" w:name="_Toc353873665"/>
      <w:r/>
      <w:bookmarkStart w:id="607" w:name="_Toc264969245"/>
      <w:r/>
      <w:bookmarkStart w:id="608" w:name="_Toc353825545"/>
      <w:r/>
      <w:bookmarkStart w:id="609" w:name="_Toc305158823"/>
      <w:r/>
      <w:bookmarkStart w:id="610" w:name="_Toc150480793"/>
      <w:r/>
      <w:bookmarkStart w:id="611" w:name="_Toc265228393"/>
      <w:r/>
      <w:bookmarkStart w:id="612" w:name="_Toc142311057"/>
      <w:r/>
      <w:bookmarkStart w:id="613" w:name="_Toc226965828"/>
      <w:r/>
      <w:bookmarkStart w:id="614" w:name="_Toc305158897"/>
      <w:r/>
      <w:bookmarkStart w:id="615" w:name="_Toc150774760"/>
      <w:r/>
      <w:bookmarkStart w:id="616" w:name="_Toc353873935"/>
      <w:r>
        <w:rPr>
          <w:color w:val="000000"/>
          <w:sz w:val="24"/>
          <w:highlight w:val="none"/>
        </w:rPr>
        <w:t xml:space="preserve">响应文件的</w:t>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rPr>
          <w:color w:val="000000"/>
          <w:sz w:val="24"/>
          <w:highlight w:val="none"/>
        </w:rPr>
        <w:t xml:space="preserve">资格性检查和符合性审查</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sz w:val="24"/>
          <w:highlight w:val="none"/>
        </w:rPr>
        <w:t xml:space="preserve">无效响应</w:t>
      </w:r>
      <w:r>
        <w:rPr>
          <w:color w:val="000000"/>
          <w:sz w:val="24"/>
          <w:highlight w:val="none"/>
        </w:rPr>
        <w:t xml:space="preserve">处理，磋商小组应当告知提交响应文件的供应商。</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《资格性检查要求》中对格式有要求的，除竞争性磋商文件另有规定外，均为“实质性格式”文件。</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《资格性检查要求》见下表：</w:t>
      </w:r>
      <w:r>
        <w:rPr>
          <w:color w:val="000000"/>
          <w:sz w:val="24"/>
          <w:highlight w:val="none"/>
        </w:rPr>
      </w:r>
      <w:r/>
    </w:p>
    <w:p>
      <w:pPr>
        <w:pStyle w:val="937"/>
        <w:ind w:left="1077" w:firstLine="2650"/>
        <w:spacing w:line="360" w:lineRule="auto"/>
        <w:tabs>
          <w:tab w:val="left" w:pos="900" w:leader="none"/>
          <w:tab w:val="left" w:pos="1080"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937"/>
              <w:jc w:val="center"/>
              <w:tabs>
                <w:tab w:val="left" w:pos="1080" w:leader="none"/>
              </w:tabs>
              <w:rPr>
                <w:rFonts w:hint="eastAsia" w:ascii="宋体" w:hAnsi="宋体" w:cs="宋体"/>
                <w:b/>
                <w:color w:val="000000"/>
                <w:sz w:val="24"/>
                <w:highlight w:val="none"/>
              </w:rPr>
            </w:pPr>
            <w:r/>
            <w:bookmarkStart w:id="617" w:name="_Hlt487972895"/>
            <w:r/>
            <w:bookmarkEnd w:id="617"/>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14" w:type="dxa"/>
            <w:vAlign w:val="center"/>
            <w:textDirection w:val="lrTb"/>
            <w:noWrap w:val="false"/>
          </w:tcPr>
          <w:p>
            <w:pPr>
              <w:pStyle w:val="93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636" w:type="dxa"/>
            <w:vAlign w:val="center"/>
            <w:textDirection w:val="lrTb"/>
            <w:noWrap w:val="false"/>
          </w:tcPr>
          <w:p>
            <w:pPr>
              <w:pStyle w:val="93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973" w:type="dxa"/>
            <w:vAlign w:val="center"/>
            <w:textDirection w:val="lrTb"/>
            <w:noWrap w:val="false"/>
          </w:tcPr>
          <w:p>
            <w:pPr>
              <w:pStyle w:val="937"/>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636"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552"/>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2636"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2636" w:type="dxa"/>
            <w:vAlign w:val="center"/>
            <w:textDirection w:val="lrTb"/>
            <w:noWrap w:val="false"/>
          </w:tcPr>
          <w:p>
            <w:pPr>
              <w:pStyle w:val="937"/>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w:t>
            </w:r>
            <w:r>
              <w:rPr>
                <w:rFonts w:hint="eastAsia" w:ascii="宋体" w:hAnsi="宋体" w:cs="宋体"/>
                <w:color w:val="000000"/>
                <w:sz w:val="24"/>
                <w:highlight w:val="none"/>
                <w:lang w:eastAsia="zh-CN"/>
              </w:rPr>
              <w:t xml:space="preserve">或</w:t>
            </w:r>
            <w:r>
              <w:rPr>
                <w:rFonts w:hint="eastAsia" w:ascii="宋体" w:hAnsi="宋体" w:cs="宋体"/>
                <w:color w:val="000000"/>
                <w:sz w:val="24"/>
                <w:highlight w:val="none"/>
              </w:rPr>
              <w:t xml:space="preserve">中国政府采购网（www.creditchina.gov.cn、www.ccgp.gov.cn）；</w:t>
            </w:r>
            <w:r>
              <w:rPr>
                <w:rFonts w:hint="eastAsia" w:ascii="宋体" w:hAnsi="宋体" w:cs="宋体"/>
                <w:color w:val="000000"/>
                <w:sz w:val="24"/>
                <w:highlight w:val="none"/>
              </w:rPr>
            </w:r>
            <w:r/>
          </w:p>
          <w:p>
            <w:pPr>
              <w:pStyle w:val="937"/>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937"/>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。联合体形式响应的，联合体成员存在不良信用记录，视同联合体存在不良信用记录。</w:t>
            </w:r>
            <w:r>
              <w:rPr>
                <w:rFonts w:hint="eastAsia" w:ascii="宋体" w:hAnsi="宋体" w:cs="宋体"/>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无须供应商提供，</w:t>
            </w:r>
            <w:r>
              <w:rPr>
                <w:rFonts w:hint="eastAsia" w:ascii="宋体" w:hAnsi="宋体" w:cs="宋体"/>
                <w:color w:val="000000"/>
                <w:sz w:val="24"/>
                <w:highlight w:val="none"/>
              </w:rPr>
              <w:t xml:space="preserve">采购人或采购代理机构</w:t>
            </w:r>
            <w:r>
              <w:rPr>
                <w:rFonts w:hint="eastAsia" w:ascii="宋体" w:hAnsi="宋体" w:cs="宋体"/>
                <w:color w:val="000000"/>
                <w:sz w:val="24"/>
                <w:highlight w:val="none"/>
                <w:lang w:val="en-US" w:eastAsia="zh-CN"/>
              </w:rPr>
              <w:t xml:space="preserve">查询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636"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color w:val="000000"/>
                <w:sz w:val="24"/>
                <w:highlight w:val="none"/>
              </w:rPr>
            </w:r>
            <w:r/>
          </w:p>
        </w:tc>
        <w:tc>
          <w:tcPr>
            <w:tcW w:w="973" w:type="dxa"/>
            <w:vAlign w:val="center"/>
            <w:textDirection w:val="lrTb"/>
            <w:noWrap w:val="false"/>
          </w:tcPr>
          <w:p>
            <w:pPr>
              <w:pStyle w:val="937"/>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37"/>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val="en-US" w:eastAsia="zh-CN"/>
              </w:rPr>
            </w:r>
            <w:r/>
          </w:p>
        </w:tc>
        <w:tc>
          <w:tcPr>
            <w:tcW w:w="2636" w:type="dxa"/>
            <w:vAlign w:val="center"/>
            <w:textDirection w:val="lrTb"/>
            <w:noWrap w:val="false"/>
          </w:tcPr>
          <w:p>
            <w:pPr>
              <w:pStyle w:val="937"/>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1、供应商单独参与磋商的，应提供中小企业声明函；如为监狱企业或残疾人福利性单位，不必提供中小企业声明函，但须按注1或注2要求提供证明材料。</w:t>
            </w:r>
            <w:r>
              <w:rPr>
                <w:rFonts w:hint="eastAsia" w:ascii="宋体" w:hAnsi="宋体" w:eastAsia="宋体" w:cs="宋体"/>
                <w:color w:val="000000"/>
                <w:sz w:val="24"/>
                <w:highlight w:val="none"/>
              </w:rPr>
            </w:r>
            <w:r/>
          </w:p>
          <w:p>
            <w:pPr>
              <w:pStyle w:val="937"/>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color w:val="000000"/>
                <w:sz w:val="24"/>
                <w:highlight w:val="none"/>
              </w:rPr>
            </w:r>
            <w:r/>
          </w:p>
          <w:p>
            <w:pPr>
              <w:pStyle w:val="937"/>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color w:val="000000"/>
                <w:sz w:val="24"/>
                <w:highlight w:val="none"/>
              </w:rPr>
            </w:r>
            <w:r/>
          </w:p>
          <w:p>
            <w:pPr>
              <w:pStyle w:val="937"/>
              <w:tabs>
                <w:tab w:val="left" w:pos="108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注2：残疾人福利性单位须按磋商文件要求提供《残疾人福利性单位声明函》。</w:t>
            </w:r>
            <w:r>
              <w:rPr>
                <w:rFonts w:hint="eastAsia" w:ascii="宋体" w:hAnsi="宋体" w:eastAsia="宋体" w:cs="宋体"/>
                <w:color w:val="000000"/>
                <w:sz w:val="24"/>
                <w:highlight w:val="none"/>
                <w:lang w:val="en-US" w:eastAsia="zh-CN"/>
              </w:rPr>
            </w:r>
            <w:r/>
          </w:p>
        </w:tc>
        <w:tc>
          <w:tcPr>
            <w:tcW w:w="973" w:type="dxa"/>
            <w:vAlign w:val="center"/>
            <w:textDirection w:val="lrTb"/>
            <w:noWrap w:val="false"/>
          </w:tcPr>
          <w:p>
            <w:pPr>
              <w:pStyle w:val="937"/>
              <w:tabs>
                <w:tab w:val="left" w:pos="1080" w:leader="none"/>
              </w:tabs>
              <w:rPr>
                <w:rFonts w:hint="eastAsia" w:ascii="宋体" w:hAnsi="宋体" w:cs="宋体"/>
                <w:sz w:val="24"/>
                <w:szCs w:val="24"/>
                <w:highlight w:val="none"/>
                <w:lang w:val="en-US" w:eastAsia="zh-CN" w:bidi="ar-SA"/>
              </w:rPr>
            </w:pPr>
            <w:r>
              <w:rPr>
                <w:sz w:val="24"/>
              </w:rPr>
              <w:t xml:space="preserve">格式见《响应文件格式》</w:t>
            </w:r>
            <w:r>
              <w:rPr>
                <w:rFonts w:hint="eastAsia" w:ascii="宋体" w:hAnsi="宋体" w:cs="宋体"/>
                <w:sz w:val="24"/>
                <w:szCs w:val="24"/>
                <w:highlight w:val="none"/>
                <w:lang w:val="en-US" w:eastAsia="zh-CN" w:bidi="ar-SA"/>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2-2</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拟分包情况说明及分包意向协议（类型一）</w:t>
            </w:r>
            <w:r>
              <w:rPr>
                <w:rFonts w:hint="eastAsia" w:ascii="宋体" w:hAnsi="宋体" w:cs="宋体"/>
                <w:color w:val="000000"/>
                <w:sz w:val="24"/>
                <w:highlight w:val="none"/>
              </w:rPr>
            </w:r>
            <w:r/>
          </w:p>
        </w:tc>
        <w:tc>
          <w:tcPr>
            <w:tcW w:w="2636" w:type="dxa"/>
            <w:vAlign w:val="center"/>
            <w:textDirection w:val="lrTb"/>
            <w:noWrap w:val="false"/>
          </w:tcPr>
          <w:p>
            <w:pPr>
              <w:pStyle w:val="937"/>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636" w:type="dxa"/>
            <w:vAlign w:val="center"/>
            <w:textDirection w:val="lrTb"/>
            <w:noWrap w:val="false"/>
          </w:tcPr>
          <w:p>
            <w:pPr>
              <w:pStyle w:val="937"/>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636" w:type="dxa"/>
            <w:vAlign w:val="center"/>
            <w:textDirection w:val="lrTb"/>
            <w:noWrap w:val="false"/>
          </w:tcPr>
          <w:p>
            <w:pPr>
              <w:pStyle w:val="937"/>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14" w:type="dxa"/>
            <w:vAlign w:val="center"/>
            <w:textDirection w:val="lrTb"/>
            <w:noWrap w:val="false"/>
          </w:tcPr>
          <w:p>
            <w:pPr>
              <w:pStyle w:val="937"/>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是否接受联合体响应</w:t>
            </w:r>
            <w:r>
              <w:rPr>
                <w:rFonts w:hint="eastAsia" w:ascii="宋体" w:hAnsi="宋体" w:cs="宋体"/>
                <w:color w:val="000000"/>
                <w:sz w:val="24"/>
                <w:highlight w:val="none"/>
              </w:rPr>
            </w:r>
            <w:r/>
          </w:p>
        </w:tc>
        <w:tc>
          <w:tcPr>
            <w:tcW w:w="2636" w:type="dxa"/>
            <w:vAlign w:val="center"/>
            <w:textDirection w:val="lrTb"/>
            <w:noWrap w:val="false"/>
          </w:tcPr>
          <w:p>
            <w:pPr>
              <w:pStyle w:val="937"/>
              <w:jc w:val="center"/>
              <w:tabs>
                <w:tab w:val="left" w:pos="1080"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具体要求见第一章《竞争性磋商公告》</w:t>
            </w:r>
            <w:r>
              <w:rPr>
                <w:rFonts w:hint="eastAsia" w:ascii="宋体" w:hAnsi="宋体" w:cs="宋体"/>
                <w:bCs/>
                <w:color w:val="000000"/>
                <w:sz w:val="24"/>
                <w:highlight w:val="none"/>
              </w:rPr>
            </w:r>
            <w:r/>
          </w:p>
        </w:tc>
        <w:tc>
          <w:tcPr>
            <w:tcW w:w="973" w:type="dxa"/>
            <w:vAlign w:val="center"/>
            <w:textDirection w:val="lrTb"/>
            <w:noWrap w:val="false"/>
          </w:tcPr>
          <w:p>
            <w:pPr>
              <w:pStyle w:val="937"/>
              <w:tabs>
                <w:tab w:val="left" w:pos="1080"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tc>
      </w:tr>
      <w:tr>
        <w:trPr>
          <w:cantSplit/>
          <w:trHeight w:val="20"/>
        </w:trPr>
        <w:tc>
          <w:tcPr>
            <w:tcW w:w="375" w:type="dxa"/>
            <w:vAlign w:val="center"/>
            <w:textDirection w:val="lrTb"/>
            <w:noWrap w:val="false"/>
          </w:tcPr>
          <w:p>
            <w:pPr>
              <w:pStyle w:val="937"/>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14" w:type="dxa"/>
            <w:vAlign w:val="center"/>
            <w:textDirection w:val="lrTb"/>
            <w:noWrap w:val="false"/>
          </w:tcPr>
          <w:p>
            <w:pPr>
              <w:pStyle w:val="937"/>
              <w:jc w:val="center"/>
              <w:tabs>
                <w:tab w:val="left" w:pos="1080" w:leader="none"/>
              </w:tabs>
              <w:rPr>
                <w:rFonts w:hint="eastAsia" w:ascii="宋体" w:hAnsi="宋体" w:eastAsia="宋体" w:cs="宋体"/>
                <w:color w:val="ff0000"/>
                <w:sz w:val="24"/>
                <w:highlight w:val="none"/>
                <w:lang w:val="en-US" w:eastAsia="zh-CN"/>
              </w:rPr>
            </w:pPr>
            <w:r>
              <w:rPr>
                <w:rFonts w:hint="eastAsia" w:ascii="宋体" w:hAnsi="宋体" w:eastAsia="宋体" w:cs="宋体"/>
                <w:color w:val="000000"/>
                <w:sz w:val="24"/>
                <w:highlight w:val="none"/>
                <w:lang w:val="en-US" w:eastAsia="zh-CN"/>
              </w:rPr>
              <w:t xml:space="preserve">其他特定资格要求</w:t>
            </w:r>
            <w:r>
              <w:rPr>
                <w:rFonts w:hint="eastAsia" w:ascii="宋体" w:hAnsi="宋体" w:eastAsia="宋体" w:cs="宋体"/>
                <w:color w:val="ff0000"/>
                <w:sz w:val="24"/>
                <w:highlight w:val="none"/>
                <w:lang w:val="en-US" w:eastAsia="zh-CN"/>
              </w:rPr>
            </w:r>
            <w:r/>
          </w:p>
        </w:tc>
        <w:tc>
          <w:tcPr>
            <w:tcW w:w="2636" w:type="dxa"/>
            <w:vAlign w:val="center"/>
            <w:textDirection w:val="lrTb"/>
            <w:noWrap w:val="false"/>
          </w:tcPr>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1.供应商应具备市政公用工程施工总承包叁级（含）以上资质，并具有有效的安全生产许可证；</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2.项目负责人应具有市政公用工程二级（含）以上注册建造师；</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3.项目负责人无在建工程（磋商响应文件中提供无在建工程承诺书并加盖供应商公章，格式自拟）；</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4.项目负责人具有有效的建设行政主管部门核发的安全生产考核合格证（B证）；</w:t>
            </w:r>
            <w:r>
              <w:rPr>
                <w:rFonts w:hint="eastAsia" w:ascii="宋体" w:hAnsi="宋体" w:eastAsia="宋体" w:cs="宋体"/>
                <w:color w:val="000000"/>
                <w:sz w:val="24"/>
                <w:szCs w:val="24"/>
                <w:highlight w:val="none"/>
                <w:lang w:val="zh-CN"/>
              </w:rPr>
            </w:r>
            <w:r/>
          </w:p>
          <w:p>
            <w:pPr>
              <w:pStyle w:val="937"/>
              <w:ind w:firstLine="480"/>
              <w:keepLines w:val="0"/>
              <w:keepNext w:val="0"/>
              <w:pageBreakBefore w:val="0"/>
              <w:spacing w:line="360" w:lineRule="auto"/>
              <w:rPr>
                <w:rFonts w:hint="eastAsia" w:ascii="宋体" w:hAnsi="宋体" w:cs="宋体"/>
                <w:bCs/>
                <w:color w:val="000000"/>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项目负责人具有社保机构出具的供应商为项目负责人缴纳社会基本养老保险的近三个月任意一个月缴纳凭证。</w:t>
            </w:r>
            <w:r>
              <w:rPr>
                <w:rFonts w:hint="eastAsia" w:ascii="宋体" w:hAnsi="宋体" w:cs="宋体"/>
                <w:bCs/>
                <w:color w:val="000000"/>
                <w:sz w:val="24"/>
                <w:highlight w:val="none"/>
              </w:rPr>
            </w:r>
            <w:r/>
          </w:p>
        </w:tc>
        <w:tc>
          <w:tcPr>
            <w:tcW w:w="973" w:type="dxa"/>
            <w:vAlign w:val="center"/>
            <w:textDirection w:val="lrTb"/>
            <w:noWrap w:val="false"/>
          </w:tcPr>
          <w:p>
            <w:pPr>
              <w:pStyle w:val="937"/>
              <w:tabs>
                <w:tab w:val="left" w:pos="108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提供相关证明材料并加盖供应商公章</w:t>
            </w:r>
            <w:r>
              <w:rPr>
                <w:rFonts w:ascii="宋体" w:hAnsi="宋体" w:eastAsia="宋体" w:cs="宋体"/>
                <w:color w:val="000000"/>
                <w:sz w:val="24"/>
                <w:highlight w:val="none"/>
                <w:lang w:val="en-US" w:eastAsia="zh-CN"/>
              </w:rPr>
            </w:r>
            <w:r/>
          </w:p>
        </w:tc>
      </w:tr>
    </w:tbl>
    <w:p>
      <w:pPr>
        <w:pStyle w:val="937"/>
        <w:jc w:val="left"/>
        <w:widowControl/>
        <w:rPr>
          <w:color w:val="000000"/>
          <w:sz w:val="24"/>
          <w:highlight w:val="none"/>
        </w:rPr>
      </w:pPr>
      <w:r>
        <w:rPr>
          <w:color w:val="000000"/>
          <w:sz w:val="24"/>
          <w:highlight w:val="none"/>
        </w:rPr>
        <w:br w:type="page" w:clear="all"/>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《符合性审查要求》见下表：</w:t>
      </w:r>
      <w:r>
        <w:rPr>
          <w:color w:val="000000"/>
          <w:sz w:val="24"/>
          <w:highlight w:val="none"/>
        </w:rPr>
      </w:r>
      <w:r/>
    </w:p>
    <w:p>
      <w:pPr>
        <w:pStyle w:val="937"/>
        <w:jc w:val="center"/>
        <w:spacing w:line="360" w:lineRule="auto"/>
        <w:widowControl/>
        <w:rPr>
          <w:b/>
          <w:color w:val="000000"/>
          <w:sz w:val="24"/>
          <w:highlight w:val="none"/>
        </w:rPr>
      </w:pPr>
      <w:r>
        <w:rPr>
          <w:b/>
          <w:color w:val="000000"/>
          <w:sz w:val="24"/>
          <w:highlight w:val="none"/>
        </w:rPr>
        <w:t xml:space="preserve">符合性审查要求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93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93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93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90"/>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rFonts w:hint="eastAsia"/>
                <w:color w:val="000000"/>
                <w:sz w:val="24"/>
                <w:highlight w:val="none"/>
              </w:rPr>
              <w:t xml:space="preserve">响应函、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eastAsia="宋体" w:cs="宋体"/>
                <w:b w:val="0"/>
                <w:bCs w:val="0"/>
                <w:sz w:val="24"/>
              </w:rPr>
              <w:t xml:space="preserve">(格式见《响应文件格式》)</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响应完整性</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sz w:val="24"/>
              </w:rPr>
              <w:t xml:space="preserve">未</w:t>
            </w:r>
            <w:r>
              <w:rPr>
                <w:sz w:val="24"/>
              </w:rPr>
              <w:t xml:space="preserve">将一个采购包中的内容拆开响应；</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响应报价</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响应有效期</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响应文件中承诺的响应有效期</w:t>
            </w:r>
            <w:r>
              <w:rPr>
                <w:rFonts w:hint="eastAsia"/>
                <w:sz w:val="24"/>
              </w:rPr>
              <w:t xml:space="preserve">满足</w:t>
            </w:r>
            <w:r>
              <w:rPr>
                <w:sz w:val="24"/>
              </w:rPr>
              <w:t xml:space="preserve">磋商文件中载明的响应有效期的；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按照磋商文件要求签署、加盖公章的；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sz w:val="24"/>
              </w:rPr>
              <w:t xml:space="preserve">格式见《响应文件格式》</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rFonts w:hint="eastAsia" w:ascii="宋体" w:hAnsi="宋体"/>
                <w:color w:val="000000"/>
                <w:sz w:val="24"/>
                <w:highlight w:val="none"/>
              </w:rPr>
              <w:t xml:space="preserve">（</w:t>
            </w:r>
            <w:r>
              <w:rPr>
                <w:rFonts w:ascii="Segoe UI Symbol" w:hAnsi="Segoe UI Symbol" w:cs="Segoe UI Symbol"/>
                <w:color w:val="000000"/>
                <w:sz w:val="24"/>
                <w:highlight w:val="none"/>
              </w:rPr>
              <w:t xml:space="preserve">★</w:t>
            </w:r>
            <w:r>
              <w:rPr>
                <w:color w:val="000000"/>
                <w:sz w:val="24"/>
                <w:highlight w:val="none"/>
              </w:rPr>
              <w:t xml:space="preserve">号条款</w:t>
            </w:r>
            <w:r>
              <w:rPr>
                <w:rFonts w:hint="eastAsia" w:ascii="宋体" w:hAnsi="宋体"/>
                <w:color w:val="000000"/>
                <w:sz w:val="24"/>
                <w:highlight w:val="none"/>
              </w:rPr>
              <w:t xml:space="preserve">）响应</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ascii="宋体" w:hAnsi="宋体"/>
                <w:sz w:val="24"/>
              </w:rPr>
              <w:t xml:space="preserve">响应</w:t>
            </w:r>
            <w:r>
              <w:rPr>
                <w:rFonts w:ascii="宋体" w:hAnsi="宋体"/>
                <w:sz w:val="24"/>
              </w:rPr>
              <w:t xml:space="preserve">文件满足</w:t>
            </w:r>
            <w:r>
              <w:rPr>
                <w:rFonts w:hint="eastAsia" w:ascii="宋体" w:hAnsi="宋体"/>
                <w:sz w:val="24"/>
              </w:rPr>
              <w:t xml:space="preserve">采购</w:t>
            </w:r>
            <w:r>
              <w:rPr>
                <w:rFonts w:ascii="宋体" w:hAnsi="宋体"/>
                <w:sz w:val="24"/>
              </w:rPr>
              <w:t xml:space="preserve">文件</w:t>
            </w:r>
            <w:r>
              <w:rPr>
                <w:rFonts w:ascii="宋体" w:hAnsi="宋体"/>
                <w:sz w:val="24"/>
              </w:rPr>
              <w:t xml:space="preserve">《采购需求》</w:t>
            </w:r>
            <w:r>
              <w:rPr>
                <w:rFonts w:ascii="宋体" w:hAnsi="宋体"/>
                <w:sz w:val="24"/>
              </w:rPr>
              <w:t xml:space="preserve">中</w:t>
            </w:r>
            <w:r>
              <w:rPr>
                <w:rFonts w:hint="eastAsia" w:ascii="宋体" w:hAnsi="宋体" w:cs="Segoe UI Symbol"/>
                <w:sz w:val="24"/>
              </w:rPr>
              <w:t xml:space="preserve">实质性</w:t>
            </w:r>
            <w:r>
              <w:rPr>
                <w:rFonts w:ascii="宋体" w:hAnsi="宋体"/>
                <w:sz w:val="24"/>
              </w:rPr>
              <w:t xml:space="preserve">条款</w:t>
            </w:r>
            <w:r>
              <w:rPr>
                <w:rFonts w:hint="eastAsia" w:ascii="宋体" w:hAnsi="宋体" w:cs="Segoe UI Symbol"/>
                <w:sz w:val="24"/>
              </w:rPr>
              <w:t xml:space="preserve">（</w:t>
            </w:r>
            <w:r>
              <w:rPr>
                <w:rFonts w:ascii="宋体" w:hAnsi="宋体" w:cs="Segoe UI Symbol"/>
                <w:sz w:val="24"/>
              </w:rPr>
              <w:t xml:space="preserve">★</w:t>
            </w:r>
            <w:r>
              <w:rPr>
                <w:rFonts w:ascii="宋体" w:hAnsi="宋体"/>
                <w:sz w:val="24"/>
              </w:rPr>
              <w:t xml:space="preserve">号</w:t>
            </w:r>
            <w:r>
              <w:rPr>
                <w:rFonts w:hint="eastAsia" w:ascii="宋体" w:hAnsi="宋体"/>
                <w:sz w:val="24"/>
              </w:rPr>
              <w:t xml:space="preserve">条款）</w:t>
            </w:r>
            <w:r>
              <w:rPr>
                <w:rFonts w:ascii="宋体" w:hAnsi="宋体"/>
                <w:sz w:val="24"/>
              </w:rPr>
              <w:t xml:space="preserve">要求的；</w:t>
            </w:r>
            <w:r>
              <w:rPr>
                <w:rFonts w:hint="eastAsia" w:ascii="宋体" w:hAnsi="宋体"/>
                <w:b/>
                <w:sz w:val="24"/>
              </w:rPr>
              <w:t xml:space="preserve">如有的，</w:t>
            </w:r>
            <w:r>
              <w:rPr>
                <w:rFonts w:hint="eastAsia" w:ascii="宋体" w:hAnsi="宋体"/>
                <w:b/>
                <w:sz w:val="24"/>
                <w:lang w:val="en-US" w:eastAsia="zh-CN"/>
              </w:rPr>
              <w:t xml:space="preserve">请</w:t>
            </w:r>
            <w:r>
              <w:rPr>
                <w:rFonts w:hint="eastAsia" w:ascii="宋体" w:hAnsi="宋体"/>
                <w:b/>
                <w:sz w:val="24"/>
              </w:rPr>
              <w:t xml:space="preserve">列出实质性条款，</w:t>
            </w:r>
            <w:r>
              <w:rPr>
                <w:rFonts w:hint="eastAsia" w:ascii="宋体" w:hAnsi="宋体"/>
                <w:b/>
                <w:sz w:val="24"/>
                <w:lang w:val="en-US" w:eastAsia="zh-CN"/>
              </w:rPr>
              <w:t xml:space="preserve">并</w:t>
            </w:r>
            <w:r>
              <w:rPr>
                <w:rFonts w:hint="eastAsia" w:ascii="宋体" w:hAnsi="宋体"/>
                <w:b/>
                <w:sz w:val="24"/>
              </w:rPr>
              <w:t xml:space="preserve">逐项提供相关证明材料；</w:t>
            </w:r>
            <w:r>
              <w:rPr>
                <w:rFonts w:hint="eastAsia" w:ascii="宋体" w:hAnsi="宋体"/>
                <w:sz w:val="24"/>
              </w:rPr>
              <w:t xml:space="preserve">如没有的，则无需供应商提供材料。</w:t>
            </w:r>
            <w:r>
              <w:rPr>
                <w:color w:val="000000"/>
                <w:sz w:val="24"/>
                <w:highlight w:val="none"/>
              </w:rPr>
            </w:r>
            <w:r/>
          </w:p>
        </w:tc>
      </w:tr>
      <w:tr>
        <w:trPr>
          <w:trHeight w:val="90"/>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93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按磋商文件规定签订并提供分包意向协议原件的电子件的；</w:t>
            </w:r>
            <w:r>
              <w:rPr>
                <w:rFonts w:hint="eastAsia"/>
                <w:sz w:val="24"/>
              </w:rPr>
              <w:t xml:space="preserve">（如有）</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ascii="宋体" w:hAnsi="宋体"/>
                <w:sz w:val="24"/>
              </w:rPr>
              <w:t xml:space="preserve">磋商文件</w:t>
            </w:r>
            <w:r>
              <w:rPr>
                <w:rFonts w:ascii="宋体" w:hAnsi="宋体"/>
                <w:sz w:val="24"/>
              </w:rPr>
              <w:t xml:space="preserve">不接受进口产品响应</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供应商所投产品非进口产品的；</w:t>
            </w:r>
            <w:r>
              <w:rPr>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color w:val="000000"/>
                <w:sz w:val="24"/>
                <w:highlight w:val="none"/>
              </w:rPr>
              <w:t xml:space="preserve">1</w:t>
            </w:r>
            <w:r>
              <w:rPr>
                <w:rFonts w:hint="eastAsia"/>
                <w:color w:val="000000"/>
                <w:sz w:val="24"/>
                <w:highlight w:val="none"/>
              </w:rPr>
              <w:t xml:space="preserve">3</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3621" w:type="dxa"/>
            <w:vAlign w:val="center"/>
            <w:textDirection w:val="lrTb"/>
            <w:noWrap w:val="false"/>
          </w:tcPr>
          <w:p>
            <w:pPr>
              <w:pStyle w:val="937"/>
              <w:jc w:val="left"/>
              <w:widowControl/>
              <w:rPr>
                <w:sz w:val="24"/>
              </w:rPr>
            </w:pPr>
            <w:r>
              <w:rPr>
                <w:rFonts w:hint="eastAsia"/>
                <w:sz w:val="24"/>
              </w:rPr>
              <w:t xml:space="preserve">国家有关部门对供应商的响应产品有强制性规定或要求的（如相应技术、安全、节能和环保等），</w:t>
            </w:r>
            <w:r>
              <w:rPr>
                <w:rFonts w:hint="eastAsia" w:ascii="宋体" w:hAnsi="宋体"/>
                <w:b/>
                <w:sz w:val="24"/>
              </w:rPr>
              <w:t xml:space="preserve">如有下列情形的，</w:t>
            </w:r>
            <w:r>
              <w:rPr>
                <w:rFonts w:hint="eastAsia"/>
                <w:b/>
                <w:bCs/>
                <w:sz w:val="24"/>
              </w:rPr>
              <w:t xml:space="preserve">供应商的响应产品应符合相应规定或要求，并提供证明文件电子件</w:t>
            </w:r>
            <w:r>
              <w:rPr>
                <w:rFonts w:hint="eastAsia"/>
                <w:sz w:val="24"/>
              </w:rPr>
              <w:t xml:space="preserve">：</w:t>
            </w:r>
            <w:r>
              <w:rPr>
                <w:sz w:val="24"/>
              </w:rPr>
            </w:r>
            <w:r/>
          </w:p>
          <w:p>
            <w:pPr>
              <w:pStyle w:val="937"/>
              <w:jc w:val="left"/>
              <w:widowControl/>
              <w:rPr>
                <w:sz w:val="24"/>
              </w:rPr>
            </w:pPr>
            <w:r>
              <w:rPr>
                <w:sz w:val="24"/>
              </w:rPr>
              <w:t xml:space="preserve">1</w:t>
            </w:r>
            <w:r>
              <w:rPr>
                <w:rFonts w:hint="eastAsia"/>
                <w:sz w:val="24"/>
              </w:rPr>
              <w:t xml:space="preserve">）采购的产品若属于《节能产品政府采购品目清单》范围中政府强制采购产品，则供应商所报产品必须获得国家确定的认证机构出具的、处于有效期之内的节能产品认证证书；</w:t>
            </w:r>
            <w:r>
              <w:rPr>
                <w:sz w:val="24"/>
              </w:rPr>
            </w:r>
            <w:r/>
          </w:p>
          <w:p>
            <w:pPr>
              <w:pStyle w:val="937"/>
              <w:jc w:val="left"/>
              <w:widowControl/>
              <w:rPr>
                <w:color w:val="000000"/>
                <w:sz w:val="24"/>
                <w:highlight w:val="none"/>
              </w:rPr>
            </w:pPr>
            <w:r>
              <w:rPr>
                <w:sz w:val="24"/>
              </w:rPr>
              <w:t xml:space="preserve">2</w:t>
            </w:r>
            <w:r>
              <w:rPr>
                <w:rFonts w:hint="eastAsia"/>
                <w:sz w:val="24"/>
              </w:rPr>
              <w:t xml:space="preserve">）国家如有特殊信息安全要求的项目，采购产品涉及无线局域网产品和含有无线局域网功能的计算机、通信设备、打印机、复印机、投影仪等产品的，响应产品须为符合国家无线局域网安全标准（</w:t>
            </w:r>
            <w:r>
              <w:rPr>
                <w:sz w:val="24"/>
              </w:rPr>
              <w:t xml:space="preserve">GB 15629.11/1102</w:t>
            </w:r>
            <w:r>
              <w:rPr>
                <w:rFonts w:hint="eastAsia"/>
                <w:sz w:val="24"/>
              </w:rPr>
              <w:t xml:space="preserve">）并通过国家产品认证的产品；</w:t>
            </w:r>
            <w:r>
              <w:rPr>
                <w:color w:val="000000"/>
                <w:sz w:val="24"/>
                <w:highlight w:val="none"/>
              </w:rPr>
            </w:r>
            <w:r/>
          </w:p>
        </w:tc>
      </w:tr>
      <w:tr>
        <w:trPr>
          <w:trHeight w:val="685"/>
        </w:trPr>
        <w:tc>
          <w:tcPr>
            <w:tcW w:w="403" w:type="dxa"/>
            <w:vAlign w:val="center"/>
            <w:textDirection w:val="lrTb"/>
            <w:noWrap w:val="false"/>
          </w:tcPr>
          <w:p>
            <w:pPr>
              <w:pStyle w:val="937"/>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sz w:val="24"/>
              </w:rPr>
              <w:t xml:space="preserve">供应商遵循公平竞争的原则，不存在恶意串通，妨碍其他供应商的竞争行为，不存在损害采购人或者其他供应商的合法权益情形的；</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color w:val="000000"/>
                <w:sz w:val="24"/>
                <w:highlight w:val="none"/>
              </w:rPr>
            </w:r>
            <w:r/>
          </w:p>
        </w:tc>
      </w:tr>
      <w:tr>
        <w:trPr>
          <w:trHeight w:val="3057"/>
        </w:trPr>
        <w:tc>
          <w:tcPr>
            <w:tcW w:w="403" w:type="dxa"/>
            <w:vAlign w:val="center"/>
            <w:textDirection w:val="lrTb"/>
            <w:noWrap w:val="false"/>
          </w:tcPr>
          <w:p>
            <w:pPr>
              <w:pStyle w:val="937"/>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5</w:t>
            </w:r>
            <w:r>
              <w:rPr>
                <w:rFonts w:hint="eastAsia"/>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3621" w:type="dxa"/>
            <w:vAlign w:val="center"/>
            <w:textDirection w:val="lrTb"/>
            <w:noWrap w:val="false"/>
          </w:tcPr>
          <w:p>
            <w:pPr>
              <w:pStyle w:val="937"/>
              <w:jc w:val="left"/>
              <w:widowControl/>
              <w:rPr>
                <w:color w:val="000000"/>
                <w:sz w:val="24"/>
                <w:highlight w:val="none"/>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sz w:val="24"/>
              </w:rPr>
              <w:t xml:space="preserve">；</w:t>
            </w:r>
            <w:r>
              <w:rPr>
                <w:color w:val="000000"/>
                <w:sz w:val="24"/>
                <w:highlight w:val="none"/>
              </w:rPr>
            </w:r>
            <w:r/>
          </w:p>
        </w:tc>
      </w:tr>
      <w:tr>
        <w:trPr>
          <w:trHeight w:val="685"/>
        </w:trPr>
        <w:tc>
          <w:tcPr>
            <w:tcW w:w="403" w:type="dxa"/>
            <w:vAlign w:val="center"/>
            <w:textDirection w:val="lrTb"/>
            <w:noWrap w:val="false"/>
          </w:tcPr>
          <w:p>
            <w:pPr>
              <w:pStyle w:val="937"/>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rPr>
                <w:rFonts w:hint="eastAsia"/>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937"/>
              <w:jc w:val="left"/>
              <w:widowControl/>
              <w:rPr>
                <w:rFonts w:hint="eastAsia" w:ascii="宋体" w:hAnsi="宋体"/>
                <w:color w:val="000000"/>
                <w:sz w:val="24"/>
                <w:highlight w:val="none"/>
              </w:rPr>
            </w:pPr>
            <w:r>
              <w:rPr>
                <w:rFonts w:hint="eastAsia" w:ascii="宋体" w:hAnsi="宋体"/>
                <w:sz w:val="24"/>
              </w:rPr>
              <w:t xml:space="preserve">响应文件未含有采购人不能接受的附加条件的；（由</w:t>
            </w:r>
            <w:r>
              <w:rPr>
                <w:sz w:val="24"/>
              </w:rPr>
              <w:t xml:space="preserve">磋商小组</w:t>
            </w:r>
            <w:r>
              <w:rPr>
                <w:rFonts w:hint="eastAsia" w:ascii="宋体" w:hAnsi="宋体"/>
                <w:sz w:val="24"/>
              </w:rPr>
              <w:t xml:space="preserve">审查，无需供应商提供材料）</w:t>
            </w:r>
            <w:r>
              <w:rPr>
                <w:rFonts w:hint="eastAsia" w:ascii="宋体" w:hAnsi="宋体"/>
                <w:color w:val="000000"/>
                <w:sz w:val="24"/>
                <w:highlight w:val="none"/>
              </w:rPr>
            </w:r>
            <w:r/>
          </w:p>
        </w:tc>
      </w:tr>
      <w:tr>
        <w:trPr>
          <w:trHeight w:val="685"/>
        </w:trPr>
        <w:tc>
          <w:tcPr>
            <w:tcW w:w="403" w:type="dxa"/>
            <w:vAlign w:val="center"/>
            <w:textDirection w:val="lrTb"/>
            <w:noWrap w:val="false"/>
          </w:tcPr>
          <w:p>
            <w:pPr>
              <w:pStyle w:val="937"/>
              <w:jc w:val="center"/>
              <w:widowControl/>
              <w:rPr>
                <w:color w:val="000000"/>
                <w:sz w:val="24"/>
                <w:highlight w:val="none"/>
              </w:rPr>
            </w:pPr>
            <w:r>
              <w:rPr>
                <w:rFonts w:hint="eastAsia"/>
                <w:color w:val="000000"/>
                <w:sz w:val="24"/>
                <w:highlight w:val="none"/>
              </w:rPr>
              <w:t xml:space="preserve">17</w:t>
            </w:r>
            <w:r>
              <w:rPr>
                <w:color w:val="000000"/>
                <w:sz w:val="24"/>
                <w:highlight w:val="none"/>
              </w:rPr>
            </w:r>
            <w:r/>
          </w:p>
        </w:tc>
        <w:tc>
          <w:tcPr>
            <w:tcW w:w="975" w:type="dxa"/>
            <w:vAlign w:val="center"/>
            <w:textDirection w:val="lrTb"/>
            <w:noWrap w:val="false"/>
          </w:tcPr>
          <w:p>
            <w:pPr>
              <w:pStyle w:val="93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937"/>
              <w:jc w:val="left"/>
              <w:widowControl/>
              <w:rPr>
                <w:rFonts w:hint="eastAsia" w:ascii="宋体" w:hAnsi="宋体"/>
                <w:color w:val="000000"/>
                <w:sz w:val="24"/>
                <w:highlight w:val="none"/>
              </w:rPr>
            </w:pPr>
            <w:r>
              <w:rPr>
                <w:rFonts w:hint="eastAsia" w:ascii="宋体" w:hAnsi="宋体"/>
                <w:sz w:val="24"/>
              </w:rPr>
              <w:t xml:space="preserve">供应商、响应文件不存在不符合法律、法规和磋商文件规定的其他无效情形。</w:t>
            </w:r>
            <w:r>
              <w:rPr>
                <w:rFonts w:hint="eastAsia" w:ascii="宋体" w:hAnsi="宋体"/>
                <w:sz w:val="24"/>
              </w:rPr>
              <w:t xml:space="preserve">（由</w:t>
            </w:r>
            <w:r>
              <w:rPr>
                <w:sz w:val="24"/>
              </w:rPr>
              <w:t xml:space="preserve">磋商小组</w:t>
            </w:r>
            <w:r>
              <w:rPr>
                <w:rFonts w:hint="eastAsia" w:ascii="宋体" w:hAnsi="宋体"/>
                <w:sz w:val="24"/>
              </w:rPr>
              <w:t xml:space="preserve">审查，无需供应商提供材料）</w:t>
            </w:r>
            <w:r>
              <w:rPr>
                <w:rFonts w:hint="eastAsia" w:ascii="宋体" w:hAnsi="宋体"/>
                <w:color w:val="000000"/>
                <w:sz w:val="24"/>
                <w:highlight w:val="none"/>
              </w:rPr>
            </w:r>
            <w:r/>
          </w:p>
        </w:tc>
      </w:tr>
      <w:tr>
        <w:trPr>
          <w:trHeight w:val="685"/>
        </w:trPr>
        <w:tc>
          <w:tcPr>
            <w:tcW w:w="403" w:type="dxa"/>
            <w:vAlign w:val="center"/>
            <w:textDirection w:val="lrTb"/>
            <w:noWrap w:val="false"/>
          </w:tcPr>
          <w:p>
            <w:pPr>
              <w:pStyle w:val="937"/>
              <w:jc w:val="center"/>
              <w:widowControl/>
              <w:rPr>
                <w:rFonts w:eastAsia="宋体"/>
                <w:b/>
                <w:bCs/>
                <w:color w:val="000000"/>
                <w:sz w:val="24"/>
                <w:highlight w:val="none"/>
                <w:lang w:val="en-US" w:eastAsia="zh-CN"/>
              </w:rPr>
            </w:pPr>
            <w:r>
              <w:rPr>
                <w:rFonts w:hint="eastAsia"/>
                <w:b/>
                <w:bCs/>
                <w:color w:val="000000"/>
                <w:sz w:val="24"/>
                <w:highlight w:val="none"/>
                <w:lang w:val="en-US" w:eastAsia="zh-CN"/>
              </w:rPr>
              <w:t xml:space="preserve">18</w:t>
            </w:r>
            <w:r>
              <w:rPr>
                <w:rFonts w:eastAsia="宋体"/>
                <w:b/>
                <w:bCs/>
                <w:color w:val="000000"/>
                <w:sz w:val="24"/>
                <w:highlight w:val="none"/>
                <w:lang w:val="en-US" w:eastAsia="zh-CN"/>
              </w:rPr>
            </w:r>
            <w:r/>
          </w:p>
        </w:tc>
        <w:tc>
          <w:tcPr>
            <w:tcW w:w="975" w:type="dxa"/>
            <w:vAlign w:val="center"/>
            <w:textDirection w:val="lrTb"/>
            <w:noWrap w:val="false"/>
          </w:tcPr>
          <w:p>
            <w:pPr>
              <w:pStyle w:val="937"/>
              <w:jc w:val="left"/>
              <w:widowControl/>
              <w:rPr>
                <w:b/>
                <w:bCs/>
                <w:color w:val="000000"/>
                <w:sz w:val="24"/>
                <w:highlight w:val="none"/>
              </w:rPr>
            </w:pPr>
            <w:r>
              <w:rPr>
                <w:rFonts w:hint="eastAsia" w:ascii="宋体" w:hAnsi="宋体"/>
                <w:b/>
                <w:bCs/>
                <w:sz w:val="24"/>
                <w:highlight w:val="none"/>
              </w:rPr>
              <w:t xml:space="preserve">异常低价审查</w:t>
            </w:r>
            <w:r>
              <w:rPr>
                <w:b/>
                <w:bCs/>
                <w:color w:val="000000"/>
                <w:sz w:val="24"/>
                <w:highlight w:val="none"/>
              </w:rPr>
            </w:r>
            <w:r/>
          </w:p>
        </w:tc>
        <w:tc>
          <w:tcPr>
            <w:tcW w:w="3621" w:type="dxa"/>
            <w:vAlign w:val="center"/>
            <w:textDirection w:val="lrTb"/>
            <w:noWrap w:val="false"/>
          </w:tcPr>
          <w:p>
            <w:pPr>
              <w:pStyle w:val="937"/>
              <w:jc w:val="left"/>
              <w:widowControl/>
              <w:rPr>
                <w:rFonts w:hint="eastAsia" w:ascii="宋体" w:hAnsi="宋体"/>
                <w:b/>
                <w:bCs/>
                <w:sz w:val="24"/>
                <w:highlight w:val="none"/>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rPr>
                <w:rFonts w:hint="eastAsia" w:ascii="宋体" w:hAnsi="宋体"/>
                <w:b/>
                <w:bCs/>
                <w:sz w:val="24"/>
                <w:highlight w:val="none"/>
              </w:rPr>
            </w:r>
            <w:r/>
          </w:p>
        </w:tc>
      </w:tr>
    </w:tbl>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磋商、响应文件有关事项的澄清、说明或者更正和最终报价</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937"/>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sz w:val="24"/>
          <w:lang w:eastAsia="zh-CN"/>
        </w:rPr>
        <w:t xml:space="preserve">“苏采云”政府采购一体化平台</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w:t>
      </w:r>
      <w:r>
        <w:rPr>
          <w:b/>
          <w:bCs w:val="0"/>
          <w:color w:val="000000"/>
          <w:sz w:val="24"/>
          <w:highlight w:val="none"/>
        </w:rPr>
        <w:t xml:space="preserve">应商在规定时间内</w:t>
      </w:r>
      <w:r>
        <w:rPr>
          <w:rFonts w:hint="eastAsia"/>
          <w:b/>
          <w:bCs w:val="0"/>
          <w:color w:val="000000"/>
          <w:sz w:val="24"/>
          <w:highlight w:val="none"/>
        </w:rPr>
        <w:t xml:space="preserve">通过</w:t>
      </w:r>
      <w:r>
        <w:rPr>
          <w:rFonts w:hint="eastAsia"/>
          <w:b/>
          <w:bCs w:val="0"/>
          <w:sz w:val="24"/>
          <w:lang w:eastAsia="zh-CN"/>
        </w:rPr>
        <w:t xml:space="preserve">“苏采云”政府采购一体化平台</w:t>
      </w:r>
      <w:r>
        <w:rPr>
          <w:rFonts w:hint="eastAsia"/>
          <w:b/>
          <w:bCs w:val="0"/>
          <w:color w:val="000000"/>
          <w:sz w:val="24"/>
          <w:highlight w:val="none"/>
        </w:rPr>
        <w:t xml:space="preserve">系统</w:t>
      </w:r>
      <w:r>
        <w:rPr>
          <w:b/>
          <w:bCs w:val="0"/>
          <w:color w:val="000000"/>
          <w:sz w:val="24"/>
          <w:highlight w:val="none"/>
        </w:rPr>
        <w:t xml:space="preserve">提交最</w:t>
      </w:r>
      <w:r>
        <w:rPr>
          <w:rFonts w:hint="eastAsia"/>
          <w:b/>
          <w:bCs w:val="0"/>
          <w:color w:val="000000"/>
          <w:sz w:val="24"/>
          <w:highlight w:val="none"/>
        </w:rPr>
        <w:t xml:space="preserve">终</w:t>
      </w:r>
      <w:r>
        <w:rPr>
          <w:b/>
          <w:bCs w:val="0"/>
          <w:color w:val="000000"/>
          <w:sz w:val="24"/>
          <w:highlight w:val="none"/>
        </w:rPr>
        <w:t xml:space="preserve">报价</w:t>
      </w:r>
      <w:r>
        <w:rPr>
          <w:rFonts w:hint="eastAsia"/>
          <w:b/>
          <w:bCs w:val="0"/>
          <w:color w:val="000000"/>
          <w:sz w:val="24"/>
          <w:highlight w:val="none"/>
          <w:lang w:eastAsia="zh-CN"/>
        </w:rPr>
        <w:t xml:space="preserve">。</w:t>
      </w:r>
      <w:r>
        <w:rPr>
          <w:b/>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最终报价的算术修正及政策调整</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最终报价出现前后不一致的，按照下列规定修正：</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竞争性磋商文件对于报价修正是否另有规定：</w:t>
      </w:r>
      <w:r>
        <w:rPr>
          <w:color w:val="000000"/>
          <w:sz w:val="24"/>
          <w:highlight w:val="none"/>
        </w:rPr>
      </w:r>
      <w:r/>
    </w:p>
    <w:p>
      <w:pPr>
        <w:pStyle w:val="937"/>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□有，具体规定为：___________</w:t>
      </w:r>
      <w:r>
        <w:rPr>
          <w:color w:val="000000"/>
          <w:sz w:val="24"/>
          <w:highlight w:val="none"/>
          <w:u w:val="single"/>
        </w:rPr>
      </w:r>
      <w:r/>
    </w:p>
    <w:p>
      <w:pPr>
        <w:pStyle w:val="937"/>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ascii="Wingdings 2" w:hAnsi="Wingdings 2" w:eastAsia="Wingdings 2" w:cs="Wingdings 2"/>
          <w:color w:val="000000"/>
          <w:sz w:val="24"/>
          <w:highlight w:val="none"/>
        </w:rPr>
        <w:t xml:space="preserve">R</w:t>
      </w:r>
      <w:r>
        <w:rPr>
          <w:color w:val="000000"/>
          <w:sz w:val="24"/>
          <w:highlight w:val="none"/>
        </w:rPr>
        <w:t xml:space="preserve">无，按下述3.2.2-3.2.5项规定修正。</w:t>
      </w:r>
      <w:r>
        <w:rPr>
          <w:color w:val="000000"/>
          <w:sz w:val="24"/>
          <w:highlight w:val="none"/>
        </w:rPr>
      </w:r>
      <w:r/>
    </w:p>
    <w:p>
      <w:pPr>
        <w:pStyle w:val="93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93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单价金额小数点或者百分比有明显错位的，以最终报价一览表的总价为准，并修改单价；</w:t>
      </w:r>
      <w:r>
        <w:rPr>
          <w:color w:val="000000"/>
          <w:sz w:val="24"/>
          <w:highlight w:val="none"/>
        </w:rPr>
      </w:r>
      <w:r/>
    </w:p>
    <w:p>
      <w:pPr>
        <w:pStyle w:val="937"/>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sz w:val="24"/>
          <w:highlight w:val="none"/>
        </w:rPr>
      </w:r>
      <w:r/>
    </w:p>
    <w:p>
      <w:pPr>
        <w:pStyle w:val="937"/>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rFonts w:hint="eastAsia"/>
          <w:b/>
          <w:bCs/>
          <w:color w:val="000000"/>
          <w:sz w:val="24"/>
          <w:highlight w:val="none"/>
        </w:rPr>
        <w:t xml:space="preserve">如是专门面向中小企业采购的项目，不再执行价格评审优惠的扶持政策，评标时价格不予扣除</w:t>
      </w:r>
      <w:r>
        <w:rPr>
          <w:rFonts w:hint="eastAsia"/>
          <w:color w:val="000000"/>
          <w:sz w:val="24"/>
          <w:highlight w:val="none"/>
        </w:rPr>
        <w:t xml:space="preserve">。</w:t>
      </w:r>
      <w:r>
        <w:rPr>
          <w:color w:val="000000"/>
          <w:sz w:val="24"/>
          <w:highlight w:val="none"/>
        </w:rPr>
      </w:r>
      <w:r/>
    </w:p>
    <w:p>
      <w:pPr>
        <w:pStyle w:val="937"/>
        <w:numPr>
          <w:ilvl w:val="2"/>
          <w:numId w:val="11"/>
        </w:numPr>
        <w:spacing w:line="360" w:lineRule="auto"/>
        <w:tabs>
          <w:tab w:val="left" w:pos="1980"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7"/>
        <w:numPr>
          <w:ilvl w:val="2"/>
          <w:numId w:val="11"/>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其他为落实政府采购政策实施的优先采购：______。</w:t>
      </w:r>
      <w:r>
        <w:rPr>
          <w:color w:val="000000"/>
          <w:sz w:val="24"/>
          <w:highlight w:val="none"/>
        </w:rPr>
      </w:r>
      <w:r/>
    </w:p>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磋商环节及提交最终报价后如出现以下情况的，供应商的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供应商对实质性变动不予确认的；</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未按照磋商小组规定的时间、逾期提交最终报价的；</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如供应商的最终报价超过竞争性磋商文件中规定的项目/采购包预算金额或者项目/采购包最高限价的；</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color w:val="000000"/>
          <w:sz w:val="24"/>
          <w:highlight w:val="none"/>
        </w:rPr>
      </w:pPr>
      <w:r>
        <w:rPr>
          <w:color w:val="000000"/>
          <w:sz w:val="24"/>
          <w:highlight w:val="none"/>
        </w:rPr>
        <w:t xml:space="preserve">最终报价出现前后不一致，供应商对修正后的报价不予确认的；</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s>
        <w:rPr>
          <w:sz w:val="24"/>
        </w:rPr>
      </w:pPr>
      <w:r/>
      <w:bookmarkEnd w:id="602"/>
      <w:r/>
      <w:bookmarkEnd w:id="603"/>
      <w:r>
        <w:rPr>
          <w:sz w:val="24"/>
        </w:rPr>
        <w:t xml:space="preserve">其他：</w:t>
      </w:r>
      <w:r>
        <w:rPr>
          <w:rFonts w:hint="eastAsia"/>
          <w:sz w:val="24"/>
        </w:rPr>
        <w:t xml:space="preserve">磋商小组认为供应商的最终报价明显低于其他供应商最终报价，有可能影响产品质量或者不能诚信履约的，应当要求其按照磋商小组规定的时间内提供书面说明，必要时提交相关证明材料；供应商不能证明其报价合理性的，磋商小组应当将其作为无效响应处理</w:t>
      </w:r>
      <w:r>
        <w:rPr>
          <w:sz w:val="24"/>
        </w:rPr>
        <w:t xml:space="preserve">。</w:t>
      </w:r>
      <w:r>
        <w:rPr>
          <w:sz w:val="24"/>
        </w:rPr>
      </w:r>
      <w:r/>
    </w:p>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竞争性磋商文件中没有规定的评审标准不得作为评审依据。</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ascii="宋体" w:hAnsi="宋体"/>
          <w:color w:val="000000"/>
          <w:sz w:val="24"/>
          <w:highlight w:val="none"/>
          <w:u w:val="single"/>
        </w:rPr>
        <w:t xml:space="preserve">见评标标准相关评分项</w:t>
      </w:r>
      <w:r>
        <w:rPr>
          <w:color w:val="000000"/>
          <w:sz w:val="24"/>
          <w:highlight w:val="none"/>
        </w:rPr>
        <w:t xml:space="preserve">。</w:t>
      </w:r>
      <w:r>
        <w:rPr>
          <w:color w:val="000000"/>
          <w:sz w:val="24"/>
          <w:highlight w:val="none"/>
        </w:rPr>
      </w:r>
      <w:r/>
    </w:p>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618" w:name="_Toc226309790"/>
      <w:r/>
      <w:bookmarkStart w:id="619" w:name="_Toc520356170"/>
      <w:r/>
      <w:bookmarkStart w:id="620" w:name="_Toc150774646"/>
      <w:r/>
      <w:bookmarkStart w:id="621" w:name="_Toc164229387"/>
      <w:r/>
      <w:bookmarkStart w:id="622" w:name="_Toc305158888"/>
      <w:r/>
      <w:bookmarkStart w:id="623" w:name="_Toc164608660"/>
      <w:r/>
      <w:bookmarkStart w:id="624" w:name="_Toc164229241"/>
      <w:r/>
      <w:bookmarkStart w:id="625" w:name="_Toc150509297"/>
      <w:r/>
      <w:bookmarkStart w:id="626" w:name="_Toc127151546"/>
      <w:r/>
      <w:bookmarkStart w:id="627" w:name="_Ref467307010"/>
      <w:r/>
      <w:bookmarkStart w:id="628" w:name="_Toc226965819"/>
      <w:r/>
      <w:bookmarkStart w:id="629" w:name="_Toc151193934"/>
      <w:r/>
      <w:bookmarkStart w:id="630" w:name="_Toc264969236"/>
      <w:r/>
      <w:bookmarkStart w:id="631" w:name="_Toc265228384"/>
      <w:r/>
      <w:bookmarkStart w:id="632" w:name="_Toc142311048"/>
      <w:r/>
      <w:bookmarkStart w:id="633" w:name="_Toc150480784"/>
      <w:r/>
      <w:bookmarkStart w:id="634" w:name="_Toc226337242"/>
      <w:r/>
      <w:bookmarkStart w:id="635" w:name="_Toc226965736"/>
      <w:r/>
      <w:bookmarkStart w:id="636" w:name="_Toc150774751"/>
      <w:r/>
      <w:bookmarkStart w:id="637" w:name="_Toc151193644"/>
      <w:r/>
      <w:bookmarkStart w:id="638" w:name="_Toc151190173"/>
      <w:r/>
      <w:bookmarkStart w:id="639" w:name="_Toc305158814"/>
      <w:r/>
      <w:bookmarkStart w:id="640" w:name="_Toc127161460"/>
      <w:r/>
      <w:bookmarkStart w:id="641" w:name="_Toc151193860"/>
      <w:r/>
      <w:bookmarkStart w:id="642" w:name="_Toc149720839"/>
      <w:r/>
      <w:bookmarkStart w:id="643" w:name="_Toc164351640"/>
      <w:r/>
      <w:bookmarkStart w:id="644" w:name="_Toc151193716"/>
      <w:r/>
      <w:bookmarkStart w:id="645" w:name="_Toc195842911"/>
      <w:r/>
      <w:bookmarkStart w:id="646" w:name="_Toc127151747"/>
      <w:r/>
      <w:bookmarkStart w:id="647" w:name="_Toc151193788"/>
      <w:r/>
      <w:bookmarkStart w:id="648" w:name="_Toc164608815"/>
      <w:r>
        <w:rPr>
          <w:color w:val="000000"/>
          <w:sz w:val="24"/>
          <w:highlight w:val="none"/>
        </w:rPr>
        <w:t xml:space="preserve">成交候选人名单</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szCs w:val="20"/>
          <w:highlight w:val="none"/>
        </w:rPr>
        <w:t xml:space="preserve">磋商小组根据上述供应商排序，依次推荐排序前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（若在磋商文件允许的情形下提交最终报价的供应商为二家，则依次推荐二名供应商为成交候选供应商），并编写评审报告。</w:t>
      </w:r>
      <w:r>
        <w:rPr>
          <w:color w:val="000000"/>
          <w:sz w:val="24"/>
          <w:highlight w:val="none"/>
        </w:rPr>
      </w:r>
      <w:r/>
    </w:p>
    <w:p>
      <w:pPr>
        <w:pStyle w:val="937"/>
        <w:numPr>
          <w:ilvl w:val="1"/>
          <w:numId w:val="11"/>
        </w:numPr>
        <w:ind w:left="1350"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7"/>
        <w:numPr>
          <w:ilvl w:val="0"/>
          <w:numId w:val="11"/>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937"/>
        <w:numPr>
          <w:ilvl w:val="1"/>
          <w:numId w:val="11"/>
        </w:numPr>
        <w:ind w:left="1350" w:hanging="720"/>
        <w:jc w:val="left"/>
        <w:spacing w:line="360" w:lineRule="auto"/>
        <w:widowControl/>
        <w:tabs>
          <w:tab w:val="left" w:pos="1080" w:leader="none"/>
          <w:tab w:val="left" w:pos="1589" w:leader="none"/>
          <w:tab w:val="left" w:pos="1872" w:leader="none"/>
        </w:tabs>
        <w:rPr>
          <w:b/>
          <w:color w:val="000000"/>
          <w:sz w:val="24"/>
          <w:highlight w:val="none"/>
        </w:rPr>
      </w:pP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br w:type="page" w:clear="all"/>
      </w:r>
      <w:r>
        <w:rPr>
          <w:b/>
          <w:color w:val="000000"/>
          <w:sz w:val="24"/>
          <w:highlight w:val="none"/>
        </w:rPr>
      </w:r>
      <w:r/>
    </w:p>
    <w:p>
      <w:pPr>
        <w:pStyle w:val="968"/>
        <w:jc w:val="center"/>
        <w:tabs>
          <w:tab w:val="left" w:pos="567"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二、评审标准</w:t>
      </w:r>
      <w:bookmarkStart w:id="649" w:name="_Hlk133415308"/>
      <w:r>
        <w:rPr>
          <w:rFonts w:ascii="Times New Roman" w:hAnsi="Times New Roman" w:eastAsia="宋体" w:cs="Times New Roman"/>
          <w:color w:val="000000"/>
          <w:sz w:val="24"/>
          <w:szCs w:val="24"/>
          <w:highlight w:val="none"/>
          <w:lang w:val="en-US" w:eastAsia="zh-CN" w:bidi="ar-SA"/>
        </w:rPr>
      </w:r>
      <w:r/>
    </w:p>
    <w:tbl>
      <w:tblPr>
        <w:tblStyle w:val="1007"/>
        <w:tblW w:w="94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2"/>
        <w:gridCol w:w="7159"/>
        <w:gridCol w:w="992"/>
      </w:tblGrid>
      <w:tr>
        <w:trPr>
          <w:trHeight w:val="357"/>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bookmarkEnd w:id="649"/>
            <w:r/>
            <w:bookmarkStart w:id="650" w:name="_Toc10100"/>
            <w:r>
              <w:rPr>
                <w:rFonts w:hint="eastAsia" w:ascii="Times New Roman" w:hAnsi="Times New Roman" w:eastAsia="宋体" w:cs="Times New Roman"/>
                <w:color w:val="000000"/>
                <w:sz w:val="24"/>
                <w:szCs w:val="20"/>
                <w:highlight w:val="none"/>
              </w:rPr>
              <w:t xml:space="preserve">评分因素</w:t>
            </w:r>
            <w:r>
              <w:rPr>
                <w:rFonts w:ascii="Times New Roman" w:hAnsi="Times New Roman" w:eastAsia="宋体" w:cs="Times New Roman"/>
                <w:color w:val="000000"/>
                <w:sz w:val="24"/>
                <w:szCs w:val="20"/>
                <w:highlight w:val="none"/>
              </w:rPr>
            </w:r>
            <w:r/>
          </w:p>
        </w:tc>
        <w:tc>
          <w:tcPr>
            <w:tcW w:w="7159"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评分标准说明</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分值</w:t>
            </w:r>
            <w:r>
              <w:rPr>
                <w:rFonts w:ascii="Times New Roman" w:hAnsi="Times New Roman" w:eastAsia="宋体" w:cs="Times New Roman"/>
                <w:color w:val="000000"/>
                <w:sz w:val="24"/>
                <w:szCs w:val="20"/>
                <w:highlight w:val="none"/>
              </w:rPr>
            </w:r>
            <w:r/>
          </w:p>
        </w:tc>
      </w:tr>
      <w:tr>
        <w:trPr>
          <w:trHeight w:val="408"/>
        </w:trPr>
        <w:tc>
          <w:tcPr>
            <w:gridSpan w:val="3"/>
            <w:tcW w:w="9403"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一、</w:t>
            </w:r>
            <w:r>
              <w:rPr>
                <w:rFonts w:hint="eastAsia" w:ascii="宋体" w:hAnsi="宋体" w:eastAsia="宋体" w:cs="宋体"/>
                <w:color w:val="000000"/>
                <w:sz w:val="24"/>
              </w:rPr>
              <w:t xml:space="preserve">报价</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15</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937"/>
        </w:trPr>
        <w:tc>
          <w:tcPr>
            <w:tcW w:w="1252"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投标报价</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满足磋商文件要求且最终报价最低的报价为评标基准价，其价格分为满分。其他供应商的价格分统一按照下列公式计算：价格分得分＝（评标基准价/最终报价）×分值。</w:t>
            </w:r>
            <w:r>
              <w:rPr>
                <w:rFonts w:hint="eastAsia" w:ascii="宋体" w:hAnsi="宋体" w:eastAsia="宋体" w:cs="宋体"/>
                <w:color w:val="000000"/>
                <w:sz w:val="24"/>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宋体" w:hAnsi="宋体" w:eastAsia="宋体" w:cs="宋体"/>
                <w:color w:val="000000"/>
                <w:sz w:val="24"/>
              </w:rPr>
              <w:t xml:space="preserve">注：此处最终报价指经过报价修正后的最终报价。</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c>
          <w:tcPr>
            <w:gridSpan w:val="3"/>
            <w:tcW w:w="9403"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二、</w:t>
            </w:r>
            <w:r>
              <w:rPr>
                <w:rFonts w:hint="eastAsia" w:ascii="Times New Roman" w:hAnsi="Times New Roman" w:eastAsia="宋体" w:cs="Times New Roman"/>
                <w:color w:val="000000"/>
                <w:sz w:val="24"/>
                <w:szCs w:val="20"/>
                <w:highlight w:val="none"/>
                <w:lang w:val="en-US" w:eastAsia="zh-CN"/>
              </w:rPr>
              <w:t xml:space="preserve">客观分</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32</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611"/>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业绩</w:t>
            </w:r>
            <w:r>
              <w:rPr>
                <w:rFonts w:ascii="Times New Roman" w:hAnsi="Times New Roman" w:eastAsia="宋体" w:cs="Times New Roman"/>
                <w:color w:val="000000"/>
                <w:sz w:val="24"/>
                <w:szCs w:val="20"/>
                <w:highlight w:val="none"/>
              </w:rPr>
            </w:r>
            <w:r/>
          </w:p>
        </w:tc>
        <w:tc>
          <w:tcPr>
            <w:tcW w:w="7159" w:type="dxa"/>
            <w:vAlign w:val="center"/>
            <w:textDirection w:val="lrTb"/>
            <w:noWrap w:val="false"/>
          </w:tcPr>
          <w:p>
            <w:pPr>
              <w:pStyle w:val="937"/>
              <w:spacing w:line="360" w:lineRule="auto"/>
              <w:tabs>
                <w:tab w:val="left" w:pos="1080" w:leader="none"/>
                <w:tab w:val="left" w:pos="1872" w:leader="none"/>
              </w:tabs>
              <w:rPr>
                <w:sz w:val="24"/>
                <w:szCs w:val="20"/>
              </w:rPr>
            </w:pPr>
            <w:r>
              <w:rPr>
                <w:rFonts w:hint="eastAsia"/>
                <w:sz w:val="24"/>
                <w:szCs w:val="20"/>
              </w:rPr>
              <w:t xml:space="preserve">供应商提供2023年1月1日至今类似工程项目业绩，每提供1个得3分，最多得9分</w:t>
            </w:r>
            <w:r>
              <w:rPr>
                <w:sz w:val="24"/>
                <w:szCs w:val="20"/>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sz w:val="24"/>
                <w:szCs w:val="20"/>
              </w:rPr>
              <w:t xml:space="preserve">注：需提供项目合同复印件并加盖公章，时间以项目合同签订日期为准，否则不得分。</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9分</w:t>
            </w:r>
            <w:r>
              <w:rPr>
                <w:rFonts w:ascii="Times New Roman" w:hAnsi="Times New Roman" w:eastAsia="宋体" w:cs="Times New Roman"/>
                <w:color w:val="000000"/>
                <w:sz w:val="24"/>
                <w:szCs w:val="20"/>
                <w:highlight w:val="none"/>
                <w:lang w:val="en-US" w:eastAsia="zh-CN"/>
              </w:rPr>
            </w:r>
            <w:r/>
          </w:p>
        </w:tc>
      </w:tr>
      <w:tr>
        <w:trPr>
          <w:trHeight w:val="611"/>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sz w:val="24"/>
                <w:szCs w:val="20"/>
              </w:rPr>
              <w:t xml:space="preserve">综合实力</w:t>
            </w:r>
            <w:r>
              <w:rPr>
                <w:rFonts w:ascii="Times New Roman" w:hAnsi="Times New Roman" w:eastAsia="宋体" w:cs="Times New Roman"/>
                <w:color w:val="000000"/>
                <w:sz w:val="24"/>
                <w:szCs w:val="20"/>
                <w:highlight w:val="none"/>
                <w:lang w:val="en-US" w:eastAsia="zh-CN"/>
              </w:rPr>
            </w:r>
            <w:r/>
          </w:p>
        </w:tc>
        <w:tc>
          <w:tcPr>
            <w:tcW w:w="7159" w:type="dxa"/>
            <w:vAlign w:val="center"/>
            <w:textDirection w:val="lrTb"/>
            <w:noWrap w:val="false"/>
          </w:tcPr>
          <w:p>
            <w:pPr>
              <w:pStyle w:val="937"/>
              <w:spacing w:line="360" w:lineRule="auto"/>
              <w:tabs>
                <w:tab w:val="left" w:pos="1080" w:leader="none"/>
                <w:tab w:val="left" w:pos="1872" w:leader="none"/>
              </w:tabs>
              <w:rPr>
                <w:sz w:val="24"/>
                <w:szCs w:val="20"/>
              </w:rPr>
            </w:pPr>
            <w:r>
              <w:rPr>
                <w:rFonts w:hint="eastAsia"/>
                <w:sz w:val="24"/>
                <w:szCs w:val="20"/>
              </w:rPr>
              <w:t xml:space="preserve">供应商获得质量管理体系认证证书的，得2分。</w:t>
            </w:r>
            <w:r>
              <w:rPr>
                <w:sz w:val="24"/>
                <w:szCs w:val="20"/>
              </w:rPr>
            </w:r>
            <w:r/>
          </w:p>
          <w:p>
            <w:pPr>
              <w:pStyle w:val="937"/>
              <w:spacing w:line="360" w:lineRule="auto"/>
              <w:tabs>
                <w:tab w:val="left" w:pos="1080" w:leader="none"/>
                <w:tab w:val="left" w:pos="1872" w:leader="none"/>
              </w:tabs>
              <w:rPr>
                <w:sz w:val="24"/>
                <w:szCs w:val="20"/>
              </w:rPr>
            </w:pPr>
            <w:r>
              <w:rPr>
                <w:rFonts w:hint="eastAsia"/>
                <w:sz w:val="24"/>
                <w:szCs w:val="20"/>
              </w:rPr>
              <w:t xml:space="preserve">供应商获得环境管理体系认证证书的，得2分。</w:t>
            </w:r>
            <w:r>
              <w:rPr>
                <w:sz w:val="24"/>
                <w:szCs w:val="20"/>
              </w:rPr>
            </w:r>
            <w:r/>
          </w:p>
          <w:p>
            <w:pPr>
              <w:pStyle w:val="937"/>
              <w:spacing w:line="360" w:lineRule="auto"/>
              <w:tabs>
                <w:tab w:val="left" w:pos="1080" w:leader="none"/>
                <w:tab w:val="left" w:pos="1872" w:leader="none"/>
              </w:tabs>
              <w:rPr>
                <w:rFonts w:hint="eastAsia"/>
                <w:sz w:val="24"/>
                <w:szCs w:val="20"/>
              </w:rPr>
            </w:pPr>
            <w:r>
              <w:rPr>
                <w:rFonts w:hint="eastAsia"/>
                <w:sz w:val="24"/>
                <w:szCs w:val="20"/>
              </w:rPr>
              <w:t xml:space="preserve">供应商获得职业健康管理体系认证证书的，得2分。</w:t>
            </w:r>
            <w:r>
              <w:rPr>
                <w:rFonts w:hint="eastAsia"/>
                <w:sz w:val="24"/>
                <w:szCs w:val="20"/>
              </w:rPr>
            </w:r>
            <w:r/>
          </w:p>
          <w:p>
            <w:pPr>
              <w:pStyle w:val="937"/>
              <w:numPr>
                <w:ilvl w:val="0"/>
                <w:numId w:val="0"/>
              </w:numPr>
              <w:spacing w:line="360" w:lineRule="auto"/>
              <w:tabs>
                <w:tab w:val="left" w:pos="1080" w:leader="none"/>
                <w:tab w:val="left" w:pos="1872" w:leader="none"/>
              </w:tabs>
              <w:rPr>
                <w:rFonts w:hint="eastAsia" w:ascii="宋体" w:hAnsi="宋体" w:cs="宋体"/>
                <w:b w:val="0"/>
                <w:bCs w:val="0"/>
                <w:color w:val="000000"/>
                <w:sz w:val="24"/>
              </w:rPr>
            </w:pPr>
            <w:r>
              <w:rPr>
                <w:rFonts w:hint="eastAsia"/>
                <w:sz w:val="24"/>
                <w:szCs w:val="20"/>
              </w:rPr>
              <w:t xml:space="preserve">注：需提供相关有效期内的证书复印件并加盖公章，否则不得分。</w:t>
            </w:r>
            <w:r>
              <w:rPr>
                <w:rFonts w:hint="eastAsia" w:ascii="宋体" w:hAnsi="宋体" w:cs="宋体"/>
                <w:b w:val="0"/>
                <w:bCs w:val="0"/>
                <w:color w:val="000000"/>
                <w:sz w:val="24"/>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6分</w:t>
            </w:r>
            <w:r>
              <w:rPr>
                <w:rFonts w:ascii="Times New Roman" w:hAnsi="Times New Roman" w:eastAsia="宋体" w:cs="Times New Roman"/>
                <w:color w:val="000000"/>
                <w:sz w:val="24"/>
                <w:szCs w:val="20"/>
                <w:highlight w:val="none"/>
                <w:lang w:val="en-US" w:eastAsia="zh-CN"/>
              </w:rPr>
            </w:r>
            <w:r/>
          </w:p>
        </w:tc>
      </w:tr>
      <w:tr>
        <w:trPr>
          <w:trHeight w:val="611"/>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hint="eastAsia"/>
                <w:sz w:val="24"/>
                <w:szCs w:val="20"/>
              </w:rPr>
            </w:pPr>
            <w:r>
              <w:rPr>
                <w:rFonts w:hint="eastAsia"/>
                <w:sz w:val="24"/>
                <w:szCs w:val="20"/>
              </w:rPr>
              <w:t xml:space="preserve">设备配置</w:t>
            </w:r>
            <w:r>
              <w:rPr>
                <w:rFonts w:hint="eastAsia"/>
                <w:sz w:val="24"/>
                <w:szCs w:val="20"/>
              </w:rPr>
            </w:r>
            <w:r/>
          </w:p>
        </w:tc>
        <w:tc>
          <w:tcPr>
            <w:tcW w:w="7159" w:type="dxa"/>
            <w:vAlign w:val="center"/>
            <w:textDirection w:val="lrTb"/>
            <w:noWrap w:val="false"/>
          </w:tcPr>
          <w:p>
            <w:pPr>
              <w:pStyle w:val="937"/>
              <w:spacing w:line="360" w:lineRule="auto"/>
              <w:tabs>
                <w:tab w:val="left" w:pos="1080" w:leader="none"/>
                <w:tab w:val="left" w:pos="1872" w:leader="none"/>
              </w:tabs>
              <w:rPr>
                <w:sz w:val="24"/>
                <w:szCs w:val="20"/>
              </w:rPr>
            </w:pPr>
            <w:r>
              <w:rPr>
                <w:rFonts w:hint="eastAsia"/>
                <w:sz w:val="24"/>
                <w:szCs w:val="20"/>
                <w:lang w:val="en-US" w:eastAsia="zh-CN"/>
              </w:rPr>
              <w:t xml:space="preserve">1.</w:t>
            </w:r>
            <w:r>
              <w:rPr>
                <w:rFonts w:hint="eastAsia"/>
                <w:sz w:val="24"/>
                <w:szCs w:val="20"/>
              </w:rPr>
              <w:t xml:space="preserve">供应商应为本项目配备的洒水车：有1辆得3分，本项最高得9分。</w:t>
            </w:r>
            <w:r>
              <w:rPr>
                <w:sz w:val="24"/>
                <w:szCs w:val="20"/>
              </w:rPr>
            </w:r>
            <w:r/>
          </w:p>
          <w:p>
            <w:pPr>
              <w:pStyle w:val="937"/>
              <w:spacing w:line="360" w:lineRule="auto"/>
              <w:tabs>
                <w:tab w:val="left" w:pos="1080" w:leader="none"/>
                <w:tab w:val="left" w:pos="1872" w:leader="none"/>
              </w:tabs>
              <w:rPr>
                <w:sz w:val="24"/>
                <w:szCs w:val="20"/>
              </w:rPr>
            </w:pPr>
            <w:r>
              <w:rPr>
                <w:rFonts w:hint="eastAsia"/>
                <w:sz w:val="24"/>
                <w:szCs w:val="20"/>
                <w:lang w:val="en-US" w:eastAsia="zh-CN"/>
              </w:rPr>
              <w:t xml:space="preserve">2.</w:t>
            </w:r>
            <w:r>
              <w:rPr>
                <w:rFonts w:hint="eastAsia"/>
                <w:sz w:val="24"/>
                <w:szCs w:val="20"/>
              </w:rPr>
              <w:t xml:space="preserve">供应商应为本项目配备的清运卡车：1辆及以上得3分，本项最高得3分。</w:t>
            </w:r>
            <w:r>
              <w:rPr>
                <w:sz w:val="24"/>
                <w:szCs w:val="20"/>
              </w:rPr>
            </w:r>
            <w:r/>
          </w:p>
          <w:p>
            <w:pPr>
              <w:pStyle w:val="937"/>
              <w:spacing w:line="360" w:lineRule="auto"/>
              <w:tabs>
                <w:tab w:val="left" w:pos="1080" w:leader="none"/>
                <w:tab w:val="left" w:pos="1872" w:leader="none"/>
              </w:tabs>
              <w:rPr>
                <w:sz w:val="24"/>
                <w:szCs w:val="20"/>
              </w:rPr>
            </w:pPr>
            <w:r>
              <w:rPr>
                <w:rFonts w:hint="eastAsia"/>
                <w:sz w:val="24"/>
                <w:szCs w:val="20"/>
                <w:lang w:val="en-US" w:eastAsia="zh-CN"/>
              </w:rPr>
              <w:t xml:space="preserve">3.</w:t>
            </w:r>
            <w:r>
              <w:rPr>
                <w:rFonts w:hint="eastAsia"/>
                <w:sz w:val="24"/>
                <w:szCs w:val="20"/>
              </w:rPr>
              <w:t xml:space="preserve">供应商应为本项目配备的巡查车（车型不限）：1辆及以上得3分，本项最高得3分。</w:t>
            </w:r>
            <w:r>
              <w:rPr>
                <w:sz w:val="24"/>
                <w:szCs w:val="20"/>
              </w:rPr>
            </w:r>
            <w:r/>
          </w:p>
          <w:p>
            <w:pPr>
              <w:pStyle w:val="937"/>
              <w:spacing w:line="360" w:lineRule="auto"/>
              <w:tabs>
                <w:tab w:val="left" w:pos="1080" w:leader="none"/>
                <w:tab w:val="left" w:pos="1872" w:leader="none"/>
              </w:tabs>
              <w:rPr>
                <w:rFonts w:hint="eastAsia"/>
                <w:sz w:val="24"/>
                <w:szCs w:val="20"/>
              </w:rPr>
            </w:pPr>
            <w:r>
              <w:rPr>
                <w:rFonts w:hint="eastAsia"/>
                <w:sz w:val="24"/>
                <w:szCs w:val="20"/>
                <w:lang w:val="en-US" w:eastAsia="zh-CN"/>
              </w:rPr>
              <w:t xml:space="preserve">4.</w:t>
            </w:r>
            <w:r>
              <w:rPr>
                <w:rFonts w:hint="eastAsia"/>
                <w:sz w:val="24"/>
                <w:szCs w:val="20"/>
              </w:rPr>
              <w:t xml:space="preserve">供应商应为本项目配备打药机：1台及以上得1分，本项最高得1分。</w:t>
            </w:r>
            <w:r>
              <w:rPr>
                <w:rFonts w:hint="eastAsia"/>
                <w:sz w:val="24"/>
                <w:szCs w:val="20"/>
              </w:rPr>
            </w:r>
            <w:r/>
          </w:p>
          <w:p>
            <w:pPr>
              <w:pStyle w:val="937"/>
              <w:spacing w:line="360" w:lineRule="auto"/>
              <w:tabs>
                <w:tab w:val="left" w:pos="1080" w:leader="none"/>
                <w:tab w:val="left" w:pos="1872" w:leader="none"/>
              </w:tabs>
              <w:rPr>
                <w:sz w:val="20"/>
              </w:rPr>
            </w:pPr>
            <w:r>
              <w:rPr>
                <w:rFonts w:hint="eastAsia"/>
                <w:sz w:val="24"/>
                <w:szCs w:val="20"/>
                <w:lang w:val="en-US" w:eastAsia="zh-CN"/>
              </w:rPr>
              <w:t xml:space="preserve">5.</w:t>
            </w:r>
            <w:r>
              <w:rPr>
                <w:rFonts w:hint="eastAsia"/>
                <w:sz w:val="24"/>
                <w:szCs w:val="20"/>
              </w:rPr>
              <w:t xml:space="preserve">供应商应为本项目配备三轮车：1辆及以上得1分，本项最高得1分。</w:t>
            </w:r>
            <w:r>
              <w:rPr>
                <w:sz w:val="20"/>
              </w:rPr>
            </w:r>
            <w:r/>
          </w:p>
          <w:p>
            <w:pPr>
              <w:pStyle w:val="937"/>
              <w:numPr>
                <w:ilvl w:val="0"/>
                <w:numId w:val="0"/>
              </w:numPr>
              <w:spacing w:line="360" w:lineRule="auto"/>
              <w:tabs>
                <w:tab w:val="left" w:pos="1080" w:leader="none"/>
                <w:tab w:val="left" w:pos="1872" w:leader="none"/>
              </w:tabs>
              <w:rPr>
                <w:rFonts w:hint="eastAsia"/>
                <w:sz w:val="24"/>
                <w:szCs w:val="20"/>
              </w:rPr>
            </w:pPr>
            <w:r>
              <w:rPr>
                <w:rFonts w:hint="eastAsia"/>
                <w:sz w:val="24"/>
                <w:szCs w:val="20"/>
              </w:rPr>
              <w:t xml:space="preserve">注：自有车辆设备：需提供购买设备的发票</w:t>
            </w:r>
            <w:r>
              <w:rPr>
                <w:rFonts w:hint="eastAsia"/>
                <w:sz w:val="24"/>
                <w:szCs w:val="20"/>
                <w:highlight w:val="none"/>
                <w:lang w:val="en-US" w:eastAsia="zh-CN"/>
              </w:rPr>
              <w:t xml:space="preserve">和车辆行驶证</w:t>
            </w:r>
            <w:r>
              <w:rPr>
                <w:rFonts w:hint="eastAsia"/>
                <w:sz w:val="24"/>
                <w:szCs w:val="20"/>
              </w:rPr>
              <w:t xml:space="preserve">并加盖公章；租赁车辆设备：需提供租赁协议</w:t>
            </w:r>
            <w:r>
              <w:rPr>
                <w:rFonts w:hint="eastAsia"/>
                <w:sz w:val="24"/>
                <w:szCs w:val="20"/>
                <w:highlight w:val="none"/>
                <w:lang w:val="en-US" w:eastAsia="zh-CN"/>
              </w:rPr>
              <w:t xml:space="preserve">和车辆行驶证</w:t>
            </w:r>
            <w:r>
              <w:rPr>
                <w:rFonts w:hint="eastAsia"/>
                <w:sz w:val="24"/>
                <w:szCs w:val="20"/>
              </w:rPr>
              <w:t xml:space="preserve">并加盖公章，否则不得分。</w:t>
            </w:r>
            <w:r>
              <w:rPr>
                <w:rFonts w:hint="eastAsia"/>
                <w:sz w:val="24"/>
                <w:szCs w:val="20"/>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17分</w:t>
            </w:r>
            <w:r>
              <w:rPr>
                <w:rFonts w:ascii="Times New Roman" w:hAnsi="Times New Roman" w:eastAsia="宋体" w:cs="Times New Roman"/>
                <w:color w:val="000000"/>
                <w:sz w:val="24"/>
                <w:szCs w:val="20"/>
                <w:highlight w:val="none"/>
                <w:lang w:val="en-US" w:eastAsia="zh-CN"/>
              </w:rPr>
            </w:r>
            <w:r/>
          </w:p>
        </w:tc>
      </w:tr>
      <w:tr>
        <w:trPr>
          <w:trHeight w:val="620"/>
        </w:trPr>
        <w:tc>
          <w:tcPr>
            <w:gridSpan w:val="3"/>
            <w:tcW w:w="9403"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三、</w:t>
            </w:r>
            <w:r>
              <w:rPr>
                <w:rFonts w:hint="eastAsia" w:ascii="Times New Roman" w:hAnsi="Times New Roman" w:eastAsia="宋体" w:cs="Times New Roman"/>
                <w:color w:val="000000"/>
                <w:sz w:val="24"/>
                <w:szCs w:val="20"/>
                <w:highlight w:val="none"/>
                <w:lang w:val="en-US" w:eastAsia="zh-CN"/>
              </w:rPr>
              <w:t xml:space="preserve">主观分</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53</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109"/>
        </w:trPr>
        <w:tc>
          <w:tcPr>
            <w:tcW w:w="1252"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总体概述</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供应商</w:t>
            </w:r>
            <w:r>
              <w:rPr>
                <w:rFonts w:hint="eastAsia" w:ascii="Times New Roman" w:hAnsi="Times New Roman" w:eastAsia="宋体" w:cs="Times New Roman"/>
                <w:color w:val="000000"/>
                <w:sz w:val="24"/>
                <w:szCs w:val="20"/>
                <w:highlight w:val="none"/>
                <w:lang w:val="en-US" w:eastAsia="zh-CN"/>
              </w:rPr>
              <w:t xml:space="preserve">根据本项目的实际情况编制</w:t>
            </w:r>
            <w:r>
              <w:rPr>
                <w:rFonts w:hint="eastAsia" w:ascii="Times New Roman" w:hAnsi="Times New Roman" w:eastAsia="宋体" w:cs="Times New Roman"/>
                <w:color w:val="000000"/>
                <w:sz w:val="24"/>
                <w:szCs w:val="20"/>
                <w:highlight w:val="none"/>
              </w:rPr>
              <w:t xml:space="preserve">总体概述（包括</w:t>
            </w:r>
            <w:r>
              <w:rPr>
                <w:rFonts w:hint="eastAsia" w:ascii="Times New Roman" w:hAnsi="Times New Roman" w:eastAsia="宋体" w:cs="Times New Roman"/>
                <w:color w:val="000000"/>
                <w:sz w:val="24"/>
                <w:szCs w:val="20"/>
                <w:highlight w:val="none"/>
                <w:lang w:val="en-US" w:eastAsia="zh-CN"/>
              </w:rPr>
              <w:t xml:space="preserve">但不限于</w:t>
            </w:r>
            <w:r>
              <w:rPr>
                <w:rFonts w:hint="eastAsia" w:ascii="Times New Roman" w:hAnsi="Times New Roman" w:eastAsia="宋体" w:cs="Times New Roman"/>
                <w:color w:val="000000"/>
                <w:sz w:val="24"/>
                <w:szCs w:val="20"/>
                <w:highlight w:val="none"/>
              </w:rPr>
              <w:t xml:space="preserve">工程概况、施工组织总体设想、方案的针对性及施工段的划分、施工现场平面布置和临时设施、临时道路布置等）。</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1.总体概述内容丰富、全面，完全符合本项目情况，得7分；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2.总体概述内容较丰富、全面，基本符合本项目情况，得4分；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3.总体概述内容简单，符合本项目情况有所欠缺，得3分；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4.总体概述内容粗略，不符合本项目情况，得1分；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109"/>
        </w:trPr>
        <w:tc>
          <w:tcPr>
            <w:tcW w:w="1252" w:type="dxa"/>
            <w:vAlign w:val="center"/>
            <w:textDirection w:val="lrTb"/>
            <w:noWrap w:val="false"/>
          </w:tcPr>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宋体" w:hAnsi="宋体" w:eastAsia="宋体" w:cs="宋体"/>
                <w:color w:val="000000"/>
                <w:sz w:val="24"/>
              </w:rPr>
              <w:t xml:space="preserve">施工方案</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供应商根据本项目的</w:t>
            </w:r>
            <w:r>
              <w:rPr>
                <w:rFonts w:hint="eastAsia" w:ascii="Times New Roman" w:hAnsi="Times New Roman" w:eastAsia="宋体" w:cs="Times New Roman"/>
                <w:color w:val="000000"/>
                <w:sz w:val="24"/>
                <w:szCs w:val="20"/>
                <w:highlight w:val="none"/>
                <w:lang w:val="en-US" w:eastAsia="zh-CN"/>
              </w:rPr>
              <w:t xml:space="preserve">工程量清单等内容</w:t>
            </w:r>
            <w:r>
              <w:rPr>
                <w:rFonts w:hint="eastAsia" w:ascii="Times New Roman" w:hAnsi="Times New Roman" w:eastAsia="宋体" w:cs="Times New Roman"/>
                <w:color w:val="000000"/>
                <w:sz w:val="24"/>
                <w:szCs w:val="20"/>
                <w:highlight w:val="none"/>
              </w:rPr>
              <w:t xml:space="preserve">编制施工方案（包括但不限于</w:t>
            </w:r>
            <w:r>
              <w:rPr>
                <w:rFonts w:hint="eastAsia" w:ascii="Times New Roman" w:hAnsi="Times New Roman" w:eastAsia="宋体" w:cs="Times New Roman"/>
                <w:color w:val="000000"/>
                <w:sz w:val="24"/>
                <w:szCs w:val="20"/>
                <w:highlight w:val="none"/>
                <w:lang w:val="en-US" w:eastAsia="zh-CN"/>
              </w:rPr>
              <w:t xml:space="preserve">施工</w:t>
            </w:r>
            <w:r>
              <w:rPr>
                <w:rFonts w:hint="eastAsia" w:ascii="Times New Roman" w:hAnsi="Times New Roman" w:eastAsia="宋体" w:cs="Times New Roman"/>
                <w:color w:val="000000"/>
                <w:sz w:val="24"/>
                <w:szCs w:val="20"/>
                <w:highlight w:val="none"/>
              </w:rPr>
              <w:t xml:space="preserve">组织机构</w:t>
            </w:r>
            <w:r>
              <w:rPr>
                <w:rFonts w:hint="eastAsia" w:ascii="Times New Roman" w:hAnsi="Times New Roman" w:eastAsia="宋体" w:cs="Times New Roman"/>
                <w:color w:val="000000"/>
                <w:sz w:val="24"/>
                <w:szCs w:val="20"/>
                <w:highlight w:val="none"/>
                <w:lang w:val="en-US" w:eastAsia="zh-CN"/>
              </w:rPr>
              <w:t xml:space="preserve">组建</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工程量清单涉及到的</w:t>
            </w:r>
            <w:r>
              <w:rPr>
                <w:rFonts w:hint="eastAsia" w:ascii="Times New Roman" w:hAnsi="Times New Roman" w:eastAsia="宋体" w:cs="Times New Roman"/>
                <w:color w:val="000000"/>
                <w:sz w:val="24"/>
                <w:szCs w:val="20"/>
                <w:highlight w:val="none"/>
              </w:rPr>
              <w:t xml:space="preserve">分部分项工作</w:t>
            </w:r>
            <w:r>
              <w:rPr>
                <w:rFonts w:hint="eastAsia" w:ascii="Times New Roman" w:hAnsi="Times New Roman" w:eastAsia="宋体" w:cs="Times New Roman"/>
                <w:color w:val="000000"/>
                <w:sz w:val="24"/>
                <w:szCs w:val="20"/>
                <w:highlight w:val="none"/>
                <w:lang w:val="en-US" w:eastAsia="zh-CN"/>
              </w:rPr>
              <w:t xml:space="preserve">实施方案</w:t>
            </w:r>
            <w:r>
              <w:rPr>
                <w:rFonts w:hint="eastAsia" w:ascii="Times New Roman" w:hAnsi="Times New Roman" w:eastAsia="宋体" w:cs="Times New Roman"/>
                <w:color w:val="000000"/>
                <w:sz w:val="24"/>
                <w:szCs w:val="20"/>
                <w:highlight w:val="none"/>
              </w:rPr>
              <w:t xml:space="preserve">、施工危险因素、</w:t>
            </w:r>
            <w:r>
              <w:rPr>
                <w:rFonts w:hint="eastAsia" w:ascii="Times New Roman" w:hAnsi="Times New Roman" w:eastAsia="宋体" w:cs="Times New Roman"/>
                <w:color w:val="000000"/>
                <w:sz w:val="24"/>
                <w:szCs w:val="20"/>
                <w:highlight w:val="none"/>
              </w:rPr>
              <w:fldChar w:fldCharType="begin"/>
            </w:r>
            <w:r>
              <w:rPr>
                <w:rFonts w:hint="eastAsia" w:ascii="Times New Roman" w:hAnsi="Times New Roman" w:eastAsia="宋体" w:cs="Times New Roman"/>
                <w:color w:val="000000"/>
                <w:sz w:val="24"/>
                <w:szCs w:val="20"/>
                <w:highlight w:val="none"/>
              </w:rPr>
              <w:instrText xml:space="preserve"> HYPERLINK "https://baike.baidu.com/item/%E5%AE%89%E5%85%A8%E6%8E%AA%E6%96%BD/533179?fromModule=lemma_inlink" \t "https://baike.baidu.com/item/%E6%96%BD%E5%B7%A5%E6%96%B9%E6%A1%88/_blank" </w:instrText>
            </w:r>
            <w:r>
              <w:rPr>
                <w:rFonts w:hint="eastAsia" w:ascii="Times New Roman" w:hAnsi="Times New Roman" w:eastAsia="宋体" w:cs="Times New Roman"/>
                <w:color w:val="000000"/>
                <w:sz w:val="24"/>
                <w:szCs w:val="20"/>
                <w:highlight w:val="none"/>
              </w:rPr>
              <w:fldChar w:fldCharType="separate"/>
            </w:r>
            <w:r>
              <w:rPr>
                <w:rFonts w:hint="eastAsia" w:ascii="Times New Roman" w:hAnsi="Times New Roman" w:eastAsia="宋体" w:cs="Times New Roman"/>
                <w:color w:val="000000"/>
                <w:sz w:val="24"/>
                <w:szCs w:val="20"/>
                <w:highlight w:val="none"/>
              </w:rPr>
              <w:t xml:space="preserve">安全措施</w:t>
            </w:r>
            <w:r>
              <w:rPr>
                <w:rFonts w:hint="eastAsia" w:ascii="Times New Roman" w:hAnsi="Times New Roman" w:eastAsia="宋体" w:cs="Times New Roman"/>
                <w:color w:val="000000"/>
                <w:sz w:val="24"/>
                <w:szCs w:val="20"/>
                <w:highlight w:val="none"/>
              </w:rPr>
              <w:fldChar w:fldCharType="end"/>
            </w:r>
            <w:r>
              <w:rPr>
                <w:rFonts w:hint="eastAsia" w:ascii="Times New Roman" w:hAnsi="Times New Roman" w:eastAsia="宋体" w:cs="Times New Roman"/>
                <w:color w:val="000000"/>
                <w:sz w:val="24"/>
                <w:szCs w:val="20"/>
                <w:highlight w:val="none"/>
              </w:rPr>
              <w:t xml:space="preserve">、重大施工步骤</w:t>
            </w:r>
            <w:r>
              <w:rPr>
                <w:rFonts w:hint="eastAsia" w:ascii="Times New Roman" w:hAnsi="Times New Roman" w:eastAsia="宋体" w:cs="Times New Roman"/>
                <w:color w:val="000000"/>
                <w:sz w:val="24"/>
                <w:szCs w:val="20"/>
                <w:highlight w:val="none"/>
                <w:lang w:val="en-US" w:eastAsia="zh-CN"/>
              </w:rPr>
              <w:t xml:space="preserve">等</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1.施工方案内容完全匹配本项目内容，以上编制施工方案的内容详细全面，具有可行性，得10分；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2.</w:t>
            </w:r>
            <w:r>
              <w:rPr>
                <w:rFonts w:hint="eastAsia" w:ascii="Times New Roman" w:hAnsi="Times New Roman" w:eastAsia="宋体" w:cs="Times New Roman"/>
                <w:color w:val="000000"/>
                <w:sz w:val="24"/>
                <w:szCs w:val="20"/>
                <w:highlight w:val="none"/>
                <w:lang w:val="en-US" w:eastAsia="zh-CN"/>
              </w:rPr>
              <w:t xml:space="preserve">施工方案内容较完全匹配本项目内容，以上编制施工方案的内容较详细全面，较具有可行性，得7分；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3.施工方案内容与本项目匹配性稍有欠缺，以上编制施工方案的内容简单，全面性、可行性有欠缺，得4分；</w:t>
            </w:r>
            <w:r>
              <w:rPr>
                <w:rFonts w:hint="eastAsia"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4.施工方案内容与本项目匹配性不足，以上编制施工方案的内容粗糙，全面性、可行性不足，得1分；</w:t>
            </w:r>
            <w:r>
              <w:rPr>
                <w:rFonts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hint="eastAsia" w:ascii="Times New Roman" w:hAnsi="Times New Roman" w:eastAsia="宋体" w:cs="Times New Roman"/>
                <w:color w:val="000000"/>
                <w:sz w:val="24"/>
                <w:szCs w:val="20"/>
                <w:highlight w:val="none"/>
                <w:lang w:eastAsia="zh-CN"/>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10</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505"/>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宋体" w:hAnsi="宋体" w:eastAsia="宋体" w:cs="宋体"/>
                <w:color w:val="000000"/>
                <w:sz w:val="24"/>
              </w:rPr>
              <w:t xml:space="preserve">质量保证措施</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供应商根据本项目的实际需求编制质量保证措施（包括但不限于</w:t>
            </w:r>
            <w:r>
              <w:rPr>
                <w:rFonts w:hint="eastAsia" w:ascii="Times New Roman" w:hAnsi="Times New Roman" w:eastAsia="宋体" w:cs="Times New Roman"/>
                <w:color w:val="000000"/>
                <w:sz w:val="24"/>
                <w:szCs w:val="20"/>
                <w:highlight w:val="none"/>
              </w:rPr>
              <w:t xml:space="preserve">：工程质量管理、工期保证体系</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工期保证</w:t>
            </w:r>
            <w:r>
              <w:rPr>
                <w:rFonts w:hint="eastAsia" w:ascii="Times New Roman" w:hAnsi="Times New Roman" w:eastAsia="宋体" w:cs="Times New Roman"/>
                <w:color w:val="000000"/>
                <w:sz w:val="24"/>
                <w:szCs w:val="20"/>
                <w:highlight w:val="none"/>
                <w:lang w:eastAsia="zh-CN"/>
              </w:rPr>
              <w:t xml:space="preserve">措施、</w:t>
            </w:r>
            <w:r>
              <w:rPr>
                <w:rFonts w:hint="eastAsia" w:ascii="Times New Roman" w:hAnsi="Times New Roman" w:eastAsia="宋体" w:cs="Times New Roman"/>
                <w:color w:val="000000"/>
                <w:sz w:val="24"/>
                <w:szCs w:val="20"/>
                <w:highlight w:val="none"/>
                <w:lang w:val="en-US" w:eastAsia="zh-CN"/>
              </w:rPr>
              <w:t xml:space="preserve">质保（养护）期管理措施等内容</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施工质量措施具体、丰富，质量管理流程紧凑，</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10</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color w:val="000000"/>
                <w:sz w:val="24"/>
                <w:szCs w:val="20"/>
                <w:highlight w:val="none"/>
                <w:lang w:val="en-US" w:eastAsia="zh-CN"/>
              </w:rPr>
              <w:t xml:space="preserve">施工质量措施较具体、丰富，质量管理流程较紧凑，</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color w:val="000000"/>
                <w:sz w:val="24"/>
                <w:szCs w:val="20"/>
                <w:highlight w:val="none"/>
                <w:lang w:val="en-US" w:eastAsia="zh-CN"/>
              </w:rPr>
              <w:t xml:space="preserve">施工质量措施内容简单但还较具体，质量管理流程紧凑性不强，</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4.施工质量措施内容简单粗糙，具体性欠缺，质量管理流程松散，得1分。</w:t>
            </w:r>
            <w:r>
              <w:rPr>
                <w:rFonts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10</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109"/>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宋体" w:hAnsi="宋体" w:eastAsia="宋体" w:cs="宋体"/>
                <w:color w:val="000000"/>
                <w:sz w:val="24"/>
              </w:rPr>
              <w:t xml:space="preserve">施工进度计划方案及控制措施</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供应商根据本项目的实际情况编制施工工期、进度保证措施案（包括但不限于：工程设计、天气条件、设备和机械故障、施工人员安排等）</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1.方案</w:t>
            </w:r>
            <w:r>
              <w:rPr>
                <w:rFonts w:hint="eastAsia" w:ascii="Times New Roman" w:hAnsi="Times New Roman" w:eastAsia="宋体" w:cs="Times New Roman"/>
                <w:color w:val="000000"/>
                <w:sz w:val="24"/>
                <w:szCs w:val="20"/>
                <w:highlight w:val="none"/>
                <w:lang w:val="en-US" w:eastAsia="zh-CN"/>
              </w:rPr>
              <w:t xml:space="preserve">详细完整，施工各环节安排紧凑，能够保障施工进度，</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2.方案</w:t>
            </w:r>
            <w:r>
              <w:rPr>
                <w:rFonts w:hint="eastAsia" w:ascii="Times New Roman" w:hAnsi="Times New Roman" w:eastAsia="宋体" w:cs="Times New Roman"/>
                <w:color w:val="000000"/>
                <w:sz w:val="24"/>
                <w:szCs w:val="20"/>
                <w:highlight w:val="none"/>
                <w:lang w:val="en-US" w:eastAsia="zh-CN"/>
              </w:rPr>
              <w:t xml:space="preserve">较详细完整，施工各环节安排较紧凑，较能够保障施工进度，</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3.方案</w:t>
            </w:r>
            <w:r>
              <w:rPr>
                <w:rFonts w:hint="eastAsia" w:ascii="Times New Roman" w:hAnsi="Times New Roman" w:eastAsia="宋体" w:cs="Times New Roman"/>
                <w:color w:val="000000"/>
                <w:sz w:val="24"/>
                <w:szCs w:val="20"/>
                <w:highlight w:val="none"/>
                <w:lang w:val="en-US" w:eastAsia="zh-CN"/>
              </w:rPr>
              <w:t xml:space="preserve">简单，施工各环节安排紧凑性有欠缺，施工进度保障性有欠缺，</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4.方案内容简单粗糙，施工各环节安排松散，施工进度保障性差，得1分。</w:t>
            </w:r>
            <w:r>
              <w:rPr>
                <w:rFonts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478"/>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宋体" w:hAnsi="宋体" w:eastAsia="宋体" w:cs="宋体"/>
                <w:color w:val="000000"/>
                <w:sz w:val="24"/>
              </w:rPr>
              <w:t xml:space="preserve">安全文明施工及环境保护措施</w:t>
            </w:r>
            <w:r>
              <w:rPr>
                <w:rFonts w:ascii="Times New Roman" w:hAnsi="Times New Roman" w:eastAsia="宋体" w:cs="Times New Roman"/>
                <w:color w:val="000000"/>
                <w:sz w:val="24"/>
                <w:szCs w:val="20"/>
                <w:highlight w:val="none"/>
              </w:rPr>
            </w:r>
            <w:r/>
          </w:p>
        </w:tc>
        <w:tc>
          <w:tcPr>
            <w:tcW w:w="7159" w:type="dxa"/>
            <w:vAlign w:val="top"/>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供应商根据本项目的实际情况编制安全文明施工，方案内容</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包括但不限于</w:t>
            </w:r>
            <w:r>
              <w:rPr>
                <w:rFonts w:hint="eastAsia" w:ascii="Times New Roman" w:hAnsi="Times New Roman" w:eastAsia="宋体" w:cs="Times New Roman"/>
                <w:color w:val="000000"/>
                <w:sz w:val="24"/>
                <w:szCs w:val="20"/>
                <w:highlight w:val="none"/>
              </w:rPr>
              <w:t xml:space="preserve">安全管理措施、安全检查流程、安全监督重点内容</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rPr>
              <w:t xml:space="preserve">安全生产技术措施、工艺及工程项目实施的重点难点</w:t>
            </w:r>
            <w:r>
              <w:rPr>
                <w:rFonts w:hint="eastAsia" w:ascii="Times New Roman" w:hAnsi="Times New Roman" w:eastAsia="宋体" w:cs="Times New Roman"/>
                <w:color w:val="000000"/>
                <w:sz w:val="24"/>
                <w:szCs w:val="20"/>
                <w:highlight w:val="none"/>
                <w:lang w:eastAsia="zh-CN"/>
              </w:rPr>
              <w:t xml:space="preserve">分析、</w:t>
            </w:r>
            <w:r>
              <w:rPr>
                <w:rFonts w:hint="eastAsia" w:ascii="Times New Roman" w:hAnsi="Times New Roman" w:eastAsia="宋体" w:cs="Times New Roman"/>
                <w:color w:val="000000"/>
                <w:sz w:val="24"/>
                <w:szCs w:val="20"/>
                <w:highlight w:val="none"/>
              </w:rPr>
              <w:t xml:space="preserve">文明施工措施、环境保护措施</w:t>
            </w:r>
            <w:r>
              <w:rPr>
                <w:rFonts w:hint="eastAsia" w:ascii="Times New Roman" w:hAnsi="Times New Roman" w:eastAsia="宋体" w:cs="Times New Roman"/>
                <w:color w:val="000000"/>
                <w:sz w:val="24"/>
                <w:szCs w:val="20"/>
                <w:highlight w:val="none"/>
                <w:lang w:val="en-US" w:eastAsia="zh-CN"/>
              </w:rPr>
              <w:t xml:space="preserve">等内容</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1.方案</w:t>
            </w:r>
            <w:r>
              <w:rPr>
                <w:rFonts w:hint="eastAsia" w:ascii="Times New Roman" w:hAnsi="Times New Roman" w:eastAsia="宋体" w:cs="Times New Roman"/>
                <w:color w:val="000000"/>
                <w:sz w:val="24"/>
                <w:szCs w:val="20"/>
                <w:highlight w:val="none"/>
                <w:lang w:val="en-US" w:eastAsia="zh-CN"/>
              </w:rPr>
              <w:t xml:space="preserve">详细</w:t>
            </w:r>
            <w:r>
              <w:rPr>
                <w:rFonts w:hint="eastAsia" w:ascii="Times New Roman" w:hAnsi="Times New Roman" w:eastAsia="宋体" w:cs="Times New Roman"/>
                <w:color w:val="000000"/>
                <w:sz w:val="24"/>
                <w:szCs w:val="20"/>
                <w:highlight w:val="none"/>
              </w:rPr>
              <w:t xml:space="preserve">完整、</w:t>
            </w:r>
            <w:r>
              <w:rPr>
                <w:rFonts w:hint="eastAsia" w:ascii="Times New Roman" w:hAnsi="Times New Roman" w:eastAsia="宋体" w:cs="Times New Roman"/>
                <w:color w:val="000000"/>
                <w:sz w:val="24"/>
                <w:szCs w:val="20"/>
                <w:highlight w:val="none"/>
                <w:lang w:val="en-US" w:eastAsia="zh-CN"/>
              </w:rPr>
              <w:t xml:space="preserve">有具体的安全文明施工工作环节，熟知零星维修安全文明施工的重难点，</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2.方案</w:t>
            </w:r>
            <w:r>
              <w:rPr>
                <w:rFonts w:hint="eastAsia" w:ascii="Times New Roman" w:hAnsi="Times New Roman" w:eastAsia="宋体" w:cs="Times New Roman"/>
                <w:color w:val="000000"/>
                <w:sz w:val="24"/>
                <w:szCs w:val="20"/>
                <w:highlight w:val="none"/>
                <w:lang w:val="en-US" w:eastAsia="zh-CN"/>
              </w:rPr>
              <w:t xml:space="preserve">交详细</w:t>
            </w:r>
            <w:r>
              <w:rPr>
                <w:rFonts w:hint="eastAsia" w:ascii="Times New Roman" w:hAnsi="Times New Roman" w:eastAsia="宋体" w:cs="Times New Roman"/>
                <w:color w:val="000000"/>
                <w:sz w:val="24"/>
                <w:szCs w:val="20"/>
                <w:highlight w:val="none"/>
              </w:rPr>
              <w:t xml:space="preserve">完整、</w:t>
            </w:r>
            <w:r>
              <w:rPr>
                <w:rFonts w:hint="eastAsia" w:ascii="Times New Roman" w:hAnsi="Times New Roman" w:eastAsia="宋体" w:cs="Times New Roman"/>
                <w:color w:val="000000"/>
                <w:sz w:val="24"/>
                <w:szCs w:val="20"/>
                <w:highlight w:val="none"/>
                <w:lang w:val="en-US" w:eastAsia="zh-CN"/>
              </w:rPr>
              <w:t xml:space="preserve">安全文明施工工作环节较具体，较能熟知零星维修安全文明施工的重难点，</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3.方案</w:t>
            </w:r>
            <w:r>
              <w:rPr>
                <w:rFonts w:hint="eastAsia" w:ascii="Times New Roman" w:hAnsi="Times New Roman" w:eastAsia="宋体" w:cs="Times New Roman"/>
                <w:color w:val="000000"/>
                <w:sz w:val="24"/>
                <w:szCs w:val="20"/>
                <w:highlight w:val="none"/>
                <w:lang w:val="en-US" w:eastAsia="zh-CN"/>
              </w:rPr>
              <w:t xml:space="preserve">简单</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安全文明施工工作环节有欠缺，对零星维修安全文明施工的重难点理解有欠缺，</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rPr>
              <w:t xml:space="preserve">方案</w:t>
            </w:r>
            <w:r>
              <w:rPr>
                <w:rFonts w:hint="eastAsia" w:ascii="Times New Roman" w:hAnsi="Times New Roman" w:eastAsia="宋体" w:cs="Times New Roman"/>
                <w:color w:val="000000"/>
                <w:sz w:val="24"/>
                <w:szCs w:val="20"/>
                <w:highlight w:val="none"/>
                <w:lang w:val="en-US" w:eastAsia="zh-CN"/>
              </w:rPr>
              <w:t xml:space="preserve">简单粗糙</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val="en-US" w:eastAsia="zh-CN"/>
              </w:rPr>
              <w:t xml:space="preserve">安全文明施工工作环节不具体，零星维修安全文明施工的重难点理解不到位，得1分。</w:t>
            </w:r>
            <w:r>
              <w:rPr>
                <w:rFonts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109"/>
        </w:trPr>
        <w:tc>
          <w:tcPr>
            <w:tcW w:w="125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施工机械设备及材料的投入计划和进退场计划方案</w:t>
            </w:r>
            <w:r>
              <w:rPr>
                <w:rFonts w:ascii="Times New Roman" w:hAnsi="Times New Roman" w:eastAsia="宋体" w:cs="Times New Roman"/>
                <w:color w:val="000000"/>
                <w:sz w:val="24"/>
                <w:szCs w:val="20"/>
                <w:highlight w:val="none"/>
              </w:rPr>
            </w:r>
            <w:r/>
          </w:p>
        </w:tc>
        <w:tc>
          <w:tcPr>
            <w:tcW w:w="7159" w:type="dxa"/>
            <w:vAlign w:val="center"/>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施工机械设备及材料的投入计</w:t>
            </w:r>
            <w:r>
              <w:rPr>
                <w:rFonts w:hint="eastAsia" w:ascii="Times New Roman" w:hAnsi="Times New Roman" w:eastAsia="宋体" w:cs="Times New Roman"/>
                <w:color w:val="000000"/>
                <w:sz w:val="24"/>
                <w:szCs w:val="20"/>
                <w:highlight w:val="none"/>
              </w:rPr>
              <w:t xml:space="preserve">划和</w:t>
            </w:r>
            <w:r>
              <w:rPr>
                <w:rFonts w:hint="eastAsia" w:ascii="Times New Roman" w:hAnsi="Times New Roman" w:eastAsia="宋体" w:cs="Times New Roman"/>
                <w:color w:val="000000"/>
                <w:sz w:val="24"/>
                <w:szCs w:val="20"/>
                <w:highlight w:val="none"/>
              </w:rPr>
              <w:t xml:space="preserve">进退场计</w:t>
            </w:r>
            <w:r>
              <w:rPr>
                <w:rFonts w:hint="eastAsia" w:ascii="Times New Roman" w:hAnsi="Times New Roman" w:eastAsia="宋体" w:cs="Times New Roman"/>
                <w:color w:val="000000"/>
                <w:sz w:val="24"/>
                <w:szCs w:val="20"/>
                <w:highlight w:val="none"/>
              </w:rPr>
              <w:t xml:space="preserve">划方案（包括但不限于：</w:t>
            </w:r>
            <w:r>
              <w:rPr>
                <w:rFonts w:hint="eastAsia" w:ascii="Times New Roman" w:hAnsi="Times New Roman" w:eastAsia="宋体" w:cs="Times New Roman"/>
                <w:color w:val="000000"/>
                <w:sz w:val="24"/>
                <w:szCs w:val="20"/>
                <w:highlight w:val="none"/>
                <w:lang w:eastAsia="zh-CN"/>
              </w:rPr>
              <w:t xml:space="preserve">拟投入的机械及各种设备</w:t>
            </w:r>
            <w:r>
              <w:rPr>
                <w:rFonts w:hint="eastAsia" w:ascii="Times New Roman" w:hAnsi="Times New Roman" w:eastAsia="宋体" w:cs="Times New Roman"/>
                <w:color w:val="000000"/>
                <w:sz w:val="24"/>
                <w:szCs w:val="20"/>
                <w:highlight w:val="none"/>
              </w:rPr>
              <w:t xml:space="preserve">、</w:t>
            </w:r>
            <w:r>
              <w:rPr>
                <w:rFonts w:hint="eastAsia" w:ascii="Times New Roman" w:hAnsi="Times New Roman" w:eastAsia="宋体" w:cs="Times New Roman"/>
                <w:color w:val="000000"/>
                <w:sz w:val="24"/>
                <w:szCs w:val="20"/>
                <w:highlight w:val="none"/>
                <w:lang w:eastAsia="zh-CN"/>
              </w:rPr>
              <w:t xml:space="preserve">施工过程中的主要设备的使用管理</w:t>
            </w:r>
            <w:r>
              <w:rPr>
                <w:rFonts w:hint="eastAsia" w:ascii="Times New Roman" w:hAnsi="Times New Roman" w:eastAsia="宋体" w:cs="Times New Roman"/>
                <w:color w:val="000000"/>
                <w:sz w:val="24"/>
                <w:szCs w:val="20"/>
                <w:highlight w:val="none"/>
              </w:rPr>
              <w:t xml:space="preserve">、设备维护</w:t>
            </w:r>
            <w:r>
              <w:rPr>
                <w:rFonts w:hint="eastAsia" w:ascii="Times New Roman" w:hAnsi="Times New Roman" w:eastAsia="宋体" w:cs="Times New Roman"/>
                <w:color w:val="000000"/>
                <w:sz w:val="24"/>
                <w:szCs w:val="20"/>
                <w:highlight w:val="none"/>
                <w:lang w:eastAsia="zh-CN"/>
              </w:rPr>
              <w:t xml:space="preserve">保养、</w:t>
            </w:r>
            <w:r>
              <w:rPr>
                <w:rFonts w:hint="eastAsia" w:ascii="Times New Roman" w:hAnsi="Times New Roman" w:eastAsia="宋体" w:cs="Times New Roman"/>
                <w:color w:val="000000"/>
                <w:sz w:val="24"/>
                <w:szCs w:val="20"/>
                <w:highlight w:val="none"/>
                <w:lang w:val="en-US" w:eastAsia="zh-CN"/>
              </w:rPr>
              <w:t xml:space="preserve">进退场计划</w:t>
            </w:r>
            <w:r>
              <w:rPr>
                <w:rFonts w:hint="eastAsia" w:ascii="Times New Roman" w:hAnsi="Times New Roman" w:eastAsia="宋体" w:cs="Times New Roman"/>
                <w:color w:val="000000"/>
                <w:sz w:val="24"/>
                <w:szCs w:val="20"/>
                <w:highlight w:val="none"/>
                <w:lang w:eastAsia="zh-CN"/>
              </w:rPr>
              <w:t xml:space="preserve">等）</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施工机械的设备及材料的投入、进退场安排合理、有序，相关管理方案可行性强，</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color w:val="000000"/>
                <w:sz w:val="24"/>
                <w:szCs w:val="20"/>
                <w:highlight w:val="none"/>
                <w:lang w:val="en-US" w:eastAsia="zh-CN"/>
              </w:rPr>
              <w:t xml:space="preserve">施工机械的设备及材料的投入、进退场安排较合理、有序，相关管理方案可行性较强，</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4</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color w:val="000000"/>
                <w:sz w:val="24"/>
                <w:szCs w:val="20"/>
                <w:highlight w:val="none"/>
                <w:lang w:val="en-US" w:eastAsia="zh-CN"/>
              </w:rPr>
              <w:t xml:space="preserve">施工机械的设备及材料的投入、进退场安排稍有混乱、有欠缺，相关管理方案欠缺可行性，</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4.施工机械的设备及材料的投入、进退场安排混乱，相关管理方案可行性差，得1分。</w:t>
            </w:r>
            <w:r>
              <w:rPr>
                <w:rFonts w:ascii="Times New Roman" w:hAnsi="Times New Roman" w:eastAsia="宋体" w:cs="Times New Roman"/>
                <w:color w:val="000000"/>
                <w:sz w:val="24"/>
                <w:szCs w:val="20"/>
                <w:highlight w:val="none"/>
                <w:lang w:val="en-US" w:eastAsia="zh-CN"/>
              </w:rPr>
            </w:r>
            <w:r/>
          </w:p>
          <w:p>
            <w:pPr>
              <w:pStyle w:val="937"/>
              <w:numPr>
                <w:ilvl w:val="0"/>
                <w:numId w:val="0"/>
              </w:numP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不提供方案不得分。</w:t>
            </w:r>
            <w:r>
              <w:rPr>
                <w:rFonts w:ascii="Times New Roman" w:hAnsi="Times New Roman" w:eastAsia="宋体" w:cs="Times New Roman"/>
                <w:color w:val="000000"/>
                <w:sz w:val="24"/>
                <w:szCs w:val="20"/>
                <w:highlight w:val="none"/>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lang w:val="en-US" w:eastAsia="zh-CN"/>
              </w:rPr>
              <w:t xml:space="preserve">7</w:t>
            </w:r>
            <w:r>
              <w:rPr>
                <w:rFonts w:hint="eastAsia" w:ascii="Times New Roman" w:hAnsi="Times New Roman" w:eastAsia="宋体" w:cs="Times New Roman"/>
                <w:color w:val="000000"/>
                <w:sz w:val="24"/>
                <w:szCs w:val="20"/>
                <w:highlight w:val="none"/>
              </w:rPr>
              <w:t xml:space="preserve">分</w:t>
            </w:r>
            <w:r>
              <w:rPr>
                <w:rFonts w:ascii="Times New Roman" w:hAnsi="Times New Roman" w:eastAsia="宋体" w:cs="Times New Roman"/>
                <w:color w:val="000000"/>
                <w:sz w:val="24"/>
                <w:szCs w:val="20"/>
                <w:highlight w:val="none"/>
              </w:rPr>
            </w:r>
            <w:r/>
          </w:p>
        </w:tc>
      </w:tr>
      <w:tr>
        <w:trPr>
          <w:trHeight w:val="109"/>
        </w:trPr>
        <w:tc>
          <w:tcPr>
            <w:tcW w:w="1252" w:type="dxa"/>
            <w:vAlign w:val="center"/>
            <w:textDirection w:val="lrTb"/>
            <w:noWrap w:val="false"/>
          </w:tcPr>
          <w:p>
            <w:pPr>
              <w:pStyle w:val="1200"/>
              <w:ind w:left="113"/>
              <w:jc w:val="center"/>
              <w:spacing w:before="96" w:line="3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合理化</w:t>
            </w:r>
            <w:r>
              <w:rPr>
                <w:rFonts w:hint="eastAsia" w:ascii="Times New Roman" w:hAnsi="Times New Roman" w:eastAsia="宋体" w:cs="Times New Roman"/>
                <w:color w:val="000000"/>
                <w:sz w:val="24"/>
                <w:szCs w:val="20"/>
                <w:highlight w:val="none"/>
              </w:rPr>
            </w:r>
            <w:r/>
          </w:p>
          <w:p>
            <w:pPr>
              <w:pStyle w:val="1200"/>
              <w:ind w:left="113"/>
              <w:jc w:val="center"/>
              <w:spacing w:before="96" w:line="360" w:lineRule="exact"/>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建议</w:t>
            </w:r>
            <w:r>
              <w:rPr>
                <w:rFonts w:hint="eastAsia" w:ascii="Times New Roman" w:hAnsi="Times New Roman" w:eastAsia="宋体" w:cs="Times New Roman"/>
                <w:color w:val="000000"/>
                <w:sz w:val="24"/>
                <w:szCs w:val="20"/>
                <w:highlight w:val="none"/>
              </w:rPr>
            </w:r>
            <w:r/>
          </w:p>
        </w:tc>
        <w:tc>
          <w:tcPr>
            <w:tcW w:w="7159" w:type="dxa"/>
            <w:vAlign w:val="center"/>
            <w:textDirection w:val="lrTb"/>
            <w:noWrap w:val="false"/>
          </w:tcPr>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供应商根据本项目的实际需求及自身情况编制</w:t>
            </w:r>
            <w:r>
              <w:rPr>
                <w:rFonts w:hint="eastAsia" w:ascii="Times New Roman" w:hAnsi="Times New Roman" w:eastAsia="宋体" w:cs="Times New Roman"/>
                <w:color w:val="000000"/>
                <w:sz w:val="24"/>
                <w:szCs w:val="20"/>
                <w:highlight w:val="none"/>
                <w:lang w:val="en-US" w:eastAsia="zh-CN"/>
              </w:rPr>
              <w:t xml:space="preserve">合理化建议</w:t>
            </w:r>
            <w:r>
              <w:rPr>
                <w:rFonts w:hint="eastAsia" w:ascii="Times New Roman" w:hAnsi="Times New Roman" w:eastAsia="宋体" w:cs="Times New Roman"/>
                <w:color w:val="000000"/>
                <w:sz w:val="24"/>
                <w:szCs w:val="20"/>
                <w:highlight w:val="none"/>
              </w:rPr>
              <w:t xml:space="preserve">，方案内容包括但不限于从降低工程造价、节约成本、保证工程质量和工程进度方面提出合理化建议：</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1.</w:t>
            </w:r>
            <w:r>
              <w:rPr>
                <w:rFonts w:hint="eastAsia" w:ascii="Times New Roman" w:hAnsi="Times New Roman" w:eastAsia="宋体" w:cs="Times New Roman"/>
                <w:color w:val="000000"/>
                <w:sz w:val="24"/>
                <w:szCs w:val="20"/>
                <w:highlight w:val="none"/>
                <w:lang w:val="en-US" w:eastAsia="zh-CN"/>
              </w:rPr>
              <w:t xml:space="preserve">合理化建议内容丰富，合理性强，能够提高项目效率、降低成本，</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5</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2.</w:t>
            </w:r>
            <w:r>
              <w:rPr>
                <w:rFonts w:hint="eastAsia" w:ascii="Times New Roman" w:hAnsi="Times New Roman" w:eastAsia="宋体" w:cs="Times New Roman"/>
                <w:color w:val="000000"/>
                <w:sz w:val="24"/>
                <w:szCs w:val="20"/>
                <w:highlight w:val="none"/>
                <w:lang w:val="en-US" w:eastAsia="zh-CN"/>
              </w:rPr>
              <w:t xml:space="preserve">合理化建议内容较丰富，合理性较强，较能够提高项目效率、降低成本，</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3</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eastAsia="zh-CN"/>
              </w:rPr>
            </w:pPr>
            <w:r>
              <w:rPr>
                <w:rFonts w:hint="eastAsia" w:ascii="Times New Roman" w:hAnsi="Times New Roman" w:eastAsia="宋体" w:cs="Times New Roman"/>
                <w:color w:val="000000"/>
                <w:sz w:val="24"/>
                <w:szCs w:val="20"/>
                <w:highlight w:val="none"/>
              </w:rPr>
              <w:t xml:space="preserve">3.</w:t>
            </w:r>
            <w:r>
              <w:rPr>
                <w:rFonts w:hint="eastAsia" w:ascii="Times New Roman" w:hAnsi="Times New Roman" w:eastAsia="宋体" w:cs="Times New Roman"/>
                <w:color w:val="000000"/>
                <w:sz w:val="24"/>
                <w:szCs w:val="20"/>
                <w:highlight w:val="none"/>
                <w:lang w:val="en-US" w:eastAsia="zh-CN"/>
              </w:rPr>
              <w:t xml:space="preserve">合理化建议简单，合理性稍有欠缺，不能够提高项目效率、降低成本，</w:t>
            </w:r>
            <w:r>
              <w:rPr>
                <w:rFonts w:hint="eastAsia" w:ascii="Times New Roman" w:hAnsi="Times New Roman" w:eastAsia="宋体" w:cs="Times New Roman"/>
                <w:color w:val="000000"/>
                <w:sz w:val="24"/>
                <w:szCs w:val="20"/>
                <w:highlight w:val="none"/>
              </w:rPr>
              <w:t xml:space="preserve">得</w:t>
            </w:r>
            <w:r>
              <w:rPr>
                <w:rFonts w:hint="eastAsia" w:ascii="Times New Roman" w:hAnsi="Times New Roman" w:eastAsia="宋体" w:cs="Times New Roman"/>
                <w:color w:val="000000"/>
                <w:sz w:val="24"/>
                <w:szCs w:val="20"/>
                <w:highlight w:val="none"/>
                <w:lang w:val="en-US" w:eastAsia="zh-CN"/>
              </w:rPr>
              <w:t xml:space="preserve">1</w:t>
            </w:r>
            <w:r>
              <w:rPr>
                <w:rFonts w:hint="eastAsia" w:ascii="Times New Roman" w:hAnsi="Times New Roman" w:eastAsia="宋体" w:cs="Times New Roman"/>
                <w:color w:val="000000"/>
                <w:sz w:val="24"/>
                <w:szCs w:val="20"/>
                <w:highlight w:val="none"/>
              </w:rPr>
              <w:t xml:space="preserve">分</w:t>
            </w:r>
            <w:r>
              <w:rPr>
                <w:rFonts w:hint="eastAsia" w:ascii="Times New Roman" w:hAnsi="Times New Roman" w:eastAsia="宋体" w:cs="Times New Roman"/>
                <w:color w:val="000000"/>
                <w:sz w:val="24"/>
                <w:szCs w:val="20"/>
                <w:highlight w:val="none"/>
                <w:lang w:eastAsia="zh-CN"/>
              </w:rPr>
              <w:t xml:space="preserve">。</w:t>
            </w:r>
            <w:r>
              <w:rPr>
                <w:rFonts w:hint="eastAsia" w:ascii="Times New Roman" w:hAnsi="Times New Roman" w:eastAsia="宋体" w:cs="Times New Roman"/>
                <w:color w:val="000000"/>
                <w:sz w:val="24"/>
                <w:szCs w:val="20"/>
                <w:highlight w:val="none"/>
                <w:lang w:eastAsia="zh-CN"/>
              </w:rPr>
            </w:r>
            <w:r/>
          </w:p>
          <w:p>
            <w:pPr>
              <w:pStyle w:val="937"/>
              <w:numPr>
                <w:ilvl w:val="0"/>
                <w:numId w:val="0"/>
              </w:numPr>
              <w:spacing w:line="360" w:lineRule="auto"/>
              <w:tabs>
                <w:tab w:val="left" w:pos="1080" w:leader="none"/>
                <w:tab w:val="left" w:pos="1872" w:leader="none"/>
              </w:tabs>
              <w:rPr>
                <w:rFonts w:hint="eastAsia"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不提供建议不得分。</w:t>
            </w:r>
            <w:r>
              <w:rPr>
                <w:rFonts w:hint="eastAsia" w:ascii="Times New Roman" w:hAnsi="Times New Roman" w:eastAsia="宋体" w:cs="Times New Roman"/>
                <w:color w:val="000000"/>
                <w:sz w:val="24"/>
                <w:szCs w:val="20"/>
                <w:highlight w:val="none"/>
                <w:lang w:val="en-US" w:eastAsia="zh-CN"/>
              </w:rPr>
            </w:r>
            <w:r/>
          </w:p>
        </w:tc>
        <w:tc>
          <w:tcPr>
            <w:tcW w:w="992" w:type="dxa"/>
            <w:vAlign w:val="center"/>
            <w:textDirection w:val="lrTb"/>
            <w:noWrap w:val="false"/>
          </w:tcPr>
          <w:p>
            <w:pPr>
              <w:pStyle w:val="937"/>
              <w:numPr>
                <w:ilvl w:val="0"/>
                <w:numId w:val="0"/>
              </w:numPr>
              <w:jc w:val="center"/>
              <w:spacing w:line="360" w:lineRule="auto"/>
              <w:tabs>
                <w:tab w:val="left" w:pos="1080" w:leader="none"/>
                <w:tab w:val="left" w:pos="1872" w:leader="none"/>
              </w:tabs>
              <w:rPr>
                <w:rFonts w:ascii="Times New Roman" w:hAnsi="Times New Roman" w:eastAsia="宋体" w:cs="Times New Roman"/>
                <w:color w:val="000000"/>
                <w:sz w:val="24"/>
                <w:szCs w:val="20"/>
                <w:highlight w:val="none"/>
                <w:lang w:val="en-US" w:eastAsia="zh-CN"/>
              </w:rPr>
            </w:pPr>
            <w:r>
              <w:rPr>
                <w:rFonts w:hint="eastAsia" w:ascii="Times New Roman" w:hAnsi="Times New Roman" w:eastAsia="宋体" w:cs="Times New Roman"/>
                <w:color w:val="000000"/>
                <w:sz w:val="24"/>
                <w:szCs w:val="20"/>
                <w:highlight w:val="none"/>
                <w:lang w:val="en-US" w:eastAsia="zh-CN"/>
              </w:rPr>
              <w:t xml:space="preserve">5分</w:t>
            </w:r>
            <w:r>
              <w:rPr>
                <w:rFonts w:ascii="Times New Roman" w:hAnsi="Times New Roman" w:eastAsia="宋体" w:cs="Times New Roman"/>
                <w:color w:val="000000"/>
                <w:sz w:val="24"/>
                <w:szCs w:val="20"/>
                <w:highlight w:val="none"/>
                <w:lang w:val="en-US" w:eastAsia="zh-CN"/>
              </w:rPr>
            </w:r>
            <w:r/>
          </w:p>
        </w:tc>
      </w:tr>
    </w:tbl>
    <w:p>
      <w:pPr>
        <w:pStyle w:val="1197"/>
        <w:spacing w:line="312" w:lineRule="auto"/>
        <w:rPr>
          <w:color w:val="000000"/>
        </w:rPr>
      </w:pPr>
      <w:r>
        <w:rPr>
          <w:color w:val="000000"/>
        </w:rPr>
      </w:r>
      <w:r/>
    </w:p>
    <w:p>
      <w:pPr>
        <w:pStyle w:val="937"/>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第四章   采购需求</w:t>
      </w:r>
      <w:bookmarkEnd w:id="650"/>
      <w:r>
        <w:rPr>
          <w:b/>
          <w:color w:val="000000"/>
          <w:sz w:val="36"/>
          <w:szCs w:val="36"/>
          <w:highlight w:val="none"/>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一、采购标的</w:t>
      </w:r>
      <w:r>
        <w:rPr>
          <w:rFonts w:hint="eastAsia" w:ascii="宋体" w:hAnsi="宋体" w:eastAsia="宋体" w:cs="宋体"/>
          <w:b/>
          <w:bCs/>
          <w:color w:val="000000"/>
          <w:sz w:val="24"/>
          <w:lang w:val="en-US" w:eastAsia="zh-CN"/>
        </w:rPr>
      </w:r>
      <w:r/>
    </w:p>
    <w:p>
      <w:pPr>
        <w:pStyle w:val="937"/>
        <w:ind w:firstLine="488"/>
        <w:jc w:val="left"/>
        <w:keepLines w:val="0"/>
        <w:keepNext w:val="0"/>
        <w:pageBreakBefore w:val="0"/>
        <w:spacing w:line="360" w:lineRule="auto"/>
        <w:widowControl/>
        <w:rPr>
          <w:rFonts w:hint="eastAsia" w:ascii="宋体" w:hAnsi="宋体" w:eastAsia="宋体" w:cs="宋体"/>
          <w:spacing w:val="2"/>
          <w:sz w:val="24"/>
          <w:highlight w:val="none"/>
          <w:lang w:val="en-US" w:eastAsia="zh-CN"/>
        </w:rPr>
      </w:pPr>
      <w:r>
        <w:rPr>
          <w:rFonts w:hint="eastAsia" w:ascii="宋体" w:hAnsi="宋体" w:eastAsia="宋体" w:cs="宋体"/>
          <w:spacing w:val="2"/>
          <w:sz w:val="24"/>
          <w:highlight w:val="none"/>
          <w:lang w:val="en-US" w:eastAsia="zh-CN"/>
        </w:rPr>
        <w:t xml:space="preserve">本项目是</w:t>
      </w:r>
      <w:r>
        <w:rPr>
          <w:rFonts w:hint="eastAsia" w:ascii="宋体" w:hAnsi="宋体" w:cs="宋体"/>
          <w:sz w:val="24"/>
          <w:lang w:eastAsia="zh-CN"/>
        </w:rPr>
        <w:t xml:space="preserve">经开区林地储备库建设二期项目</w:t>
      </w:r>
      <w:r>
        <w:rPr>
          <w:rFonts w:hint="eastAsia" w:ascii="宋体" w:hAnsi="宋体" w:eastAsia="宋体" w:cs="宋体"/>
          <w:spacing w:val="2"/>
          <w:sz w:val="24"/>
          <w:highlight w:val="none"/>
          <w:lang w:val="en-US" w:eastAsia="zh-CN"/>
        </w:rPr>
        <w:t xml:space="preserve">，项目包括但不限于采购文件及其基本技术要求范围内相应设计、工程开工前的准备（包括现场踏勘、技术核对等）、技术资料、施工、技术服务、主管单位验收、质保期及维保服务和采购文件所要求的相关服务等全部内容。</w:t>
      </w:r>
      <w:r>
        <w:rPr>
          <w:rFonts w:hint="eastAsia" w:ascii="宋体" w:hAnsi="宋体" w:eastAsia="宋体" w:cs="宋体"/>
          <w:spacing w:val="2"/>
          <w:sz w:val="24"/>
          <w:highlight w:val="none"/>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1.工程地点：</w:t>
      </w:r>
      <w:r>
        <w:rPr>
          <w:rFonts w:hint="eastAsia" w:ascii="宋体" w:hAnsi="宋体" w:eastAsia="宋体" w:cs="宋体"/>
          <w:color w:val="000000"/>
          <w:sz w:val="24"/>
          <w:highlight w:val="none"/>
          <w:lang w:val="en-US" w:eastAsia="zh-CN"/>
        </w:rPr>
        <w:t xml:space="preserve">常州市天宁区</w:t>
      </w:r>
      <w:r>
        <w:rPr>
          <w:rFonts w:hint="eastAsia" w:ascii="宋体" w:hAnsi="宋体" w:eastAsia="宋体" w:cs="宋体"/>
          <w:color w:val="000000"/>
          <w:sz w:val="24"/>
          <w:highlight w:val="none"/>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2.质量等级要求：</w:t>
      </w:r>
      <w:r>
        <w:rPr>
          <w:rFonts w:hint="eastAsia" w:ascii="宋体" w:hAnsi="宋体" w:eastAsia="宋体" w:cs="宋体"/>
          <w:color w:val="000000"/>
          <w:sz w:val="24"/>
          <w:highlight w:val="none"/>
          <w:lang w:val="en-US" w:eastAsia="zh-CN"/>
        </w:rPr>
        <w:t xml:space="preserve">一次性验收合格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3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color w:val="000000"/>
          <w:sz w:val="24"/>
          <w:highlight w:val="none"/>
          <w:lang w:val="en-US" w:eastAsia="zh-CN"/>
        </w:rPr>
        <w:t xml:space="preserve">：2年</w:t>
      </w:r>
      <w:r>
        <w:rPr>
          <w:rFonts w:ascii="宋体" w:hAnsi="宋体" w:eastAsia="宋体" w:cs="宋体"/>
          <w:color w:val="000000"/>
          <w:sz w:val="24"/>
          <w:highlight w:val="none"/>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范围：工程量清单及图纸范围内的全部工作内容。</w:t>
      </w:r>
      <w:r>
        <w:rPr>
          <w:rFonts w:hint="eastAsia" w:ascii="宋体" w:hAnsi="宋体" w:eastAsia="宋体" w:cs="宋体"/>
          <w:color w:val="000000"/>
          <w:sz w:val="24"/>
          <w:highlight w:val="none"/>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二、商务要求</w:t>
      </w:r>
      <w:r>
        <w:rPr>
          <w:rFonts w:hint="eastAsia" w:ascii="宋体" w:hAnsi="宋体" w:eastAsia="宋体" w:cs="宋体"/>
          <w:b/>
          <w:bCs/>
          <w:color w:val="000000"/>
          <w:sz w:val="24"/>
          <w:highlight w:val="none"/>
          <w:lang w:val="en-US" w:eastAsia="zh-CN"/>
        </w:rPr>
      </w:r>
      <w:r/>
    </w:p>
    <w:p>
      <w:pPr>
        <w:pStyle w:val="937"/>
        <w:ind w:firstLine="480"/>
        <w:jc w:val="left"/>
        <w:keepLines w:val="0"/>
        <w:keepNext w:val="0"/>
        <w:pageBreakBefore w:val="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1.工期：</w:t>
      </w:r>
      <w:r>
        <w:rPr>
          <w:rFonts w:hint="eastAsia" w:ascii="宋体" w:hAnsi="宋体" w:eastAsia="宋体" w:cs="宋体"/>
          <w:bCs/>
          <w:color w:val="000000"/>
          <w:sz w:val="24"/>
          <w:szCs w:val="24"/>
          <w:highlight w:val="none"/>
          <w:lang w:val="zh-CN" w:eastAsia="zh-CN" w:bidi="ar-SA"/>
        </w:rPr>
        <w:t xml:space="preserve">自收到采购人开工通知后</w:t>
      </w:r>
      <w:r>
        <w:rPr>
          <w:rFonts w:hint="eastAsia" w:ascii="宋体" w:hAnsi="宋体" w:eastAsia="宋体" w:cs="宋体"/>
          <w:bCs/>
          <w:color w:val="000000"/>
          <w:sz w:val="24"/>
          <w:szCs w:val="24"/>
          <w:highlight w:val="none"/>
          <w:u w:val="single"/>
          <w:lang w:val="en-US" w:eastAsia="zh-CN" w:bidi="ar-SA"/>
        </w:rPr>
        <w:t xml:space="preserve"> 30</w:t>
      </w:r>
      <w:r>
        <w:rPr>
          <w:rFonts w:hint="eastAsia" w:ascii="宋体" w:hAnsi="宋体" w:eastAsia="宋体" w:cs="宋体"/>
          <w:bCs/>
          <w:color w:val="000000"/>
          <w:sz w:val="24"/>
          <w:szCs w:val="24"/>
          <w:highlight w:val="none"/>
          <w:lang w:val="zh-CN" w:eastAsia="zh-CN" w:bidi="ar-SA"/>
        </w:rPr>
        <w:t xml:space="preserve">个日历日内完工并通过验收，同时施工工期必须严格服从采购人的安排，满足工程进度的要求。</w:t>
      </w:r>
      <w:r>
        <w:rPr>
          <w:rFonts w:ascii="宋体" w:hAnsi="宋体" w:eastAsia="宋体" w:cs="宋体"/>
          <w:color w:val="000000"/>
          <w:sz w:val="24"/>
          <w:highlight w:val="none"/>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2.付款条件：项目开工前，支付合同总价10%的预付款（供应商明确表示无需预付款或者主动要求降低预付款比例的，采购人可不适用前述规定），项目完工经验收合格60日内付至审定价的97%，两年</w:t>
      </w:r>
      <w:r>
        <w:rPr>
          <w:rFonts w:hint="eastAsia" w:ascii="宋体" w:hAnsi="宋体" w:eastAsia="宋体" w:cs="宋体"/>
          <w:b w:val="0"/>
          <w:bCs/>
          <w:color w:val="000000"/>
          <w:sz w:val="24"/>
          <w:szCs w:val="24"/>
          <w:highlight w:val="none"/>
          <w:u w:val="none"/>
        </w:rPr>
        <w:t xml:space="preserve">缺陷责任期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质保、养护期</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color w:val="000000"/>
          <w:sz w:val="24"/>
          <w:highlight w:val="none"/>
          <w:lang w:val="en-US" w:eastAsia="zh-CN"/>
        </w:rPr>
        <w:t xml:space="preserve">结束后付至审定价的100%（无息）</w:t>
      </w:r>
      <w:r>
        <w:rPr>
          <w:rFonts w:hint="eastAsia" w:ascii="宋体" w:hAnsi="宋体" w:eastAsia="宋体" w:cs="宋体"/>
          <w:color w:val="000000"/>
          <w:sz w:val="24"/>
          <w:highlight w:val="none"/>
          <w:lang w:val="en-US" w:eastAsia="zh-CN"/>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三、技术要求</w:t>
      </w:r>
      <w:r>
        <w:rPr>
          <w:rFonts w:hint="eastAsia" w:ascii="宋体" w:hAnsi="宋体" w:eastAsia="宋体" w:cs="宋体"/>
          <w:b/>
          <w:bCs/>
          <w:color w:val="000000"/>
          <w:sz w:val="24"/>
          <w:lang w:val="en-US" w:eastAsia="zh-CN"/>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1.</w:t>
      </w:r>
      <w:r>
        <w:rPr>
          <w:rFonts w:hint="eastAsia" w:ascii="宋体" w:hAnsi="宋体" w:eastAsia="宋体" w:cs="宋体"/>
          <w:b/>
          <w:bCs/>
          <w:color w:val="000000"/>
          <w:sz w:val="24"/>
          <w:lang w:val="en-US" w:eastAsia="zh-CN"/>
        </w:rPr>
        <w:t xml:space="preserve">招标控制价（工程量清单）</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详见附件</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其他要求</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000000"/>
          <w:sz w:val="24"/>
          <w:lang w:val="en-US" w:eastAsia="zh-CN"/>
        </w:rPr>
        <w:t xml:space="preserve"> 100</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四、磋商报价</w:t>
      </w:r>
      <w:r>
        <w:rPr>
          <w:rFonts w:hint="eastAsia" w:ascii="宋体" w:hAnsi="宋体" w:eastAsia="宋体" w:cs="宋体"/>
          <w:b/>
          <w:bCs/>
          <w:color w:val="000000"/>
          <w:sz w:val="24"/>
          <w:lang w:val="en-US"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本工程磋商报价采用工程量清单报价。供应商应按要求提供已标价工程量清单</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已标价工程量清单包括（根据最新工程量清单计价规范提供）:单位工程费汇总表、分部分项工程和单价措施项目清单计价表、总价措施项目清单与计价表、其他项目清单与计价汇总表、暂列金额明细表、材料暂估价格表、专业工程暂估价表、规费、税金项目清单计价表、乙供主要材料及设备价格表。</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本项目磋商报价为</w:t>
      </w:r>
      <w:r>
        <w:rPr>
          <w:rFonts w:hint="eastAsia" w:ascii="宋体" w:hAnsi="宋体" w:eastAsia="宋体" w:cs="宋体"/>
          <w:b/>
          <w:bCs/>
          <w:color w:val="000000"/>
          <w:sz w:val="24"/>
          <w:highlight w:val="none"/>
        </w:rPr>
        <w:t xml:space="preserve">固定综合单价</w:t>
      </w:r>
      <w:r>
        <w:rPr>
          <w:rFonts w:hint="eastAsia" w:ascii="宋体" w:hAnsi="宋体" w:eastAsia="宋体" w:cs="宋体"/>
          <w:color w:val="000000"/>
          <w:sz w:val="24"/>
          <w:highlight w:val="none"/>
        </w:rPr>
        <w:t xml:space="preserve">，</w:t>
      </w:r>
      <w:r>
        <w:rPr>
          <w:rFonts w:hint="eastAsia" w:ascii="宋体" w:hAnsi="宋体" w:eastAsia="宋体" w:cs="宋体"/>
          <w:color w:val="000000"/>
          <w:sz w:val="24"/>
        </w:rPr>
        <w:t xml:space="preserve">磋商报价为供应商在磋商响应文件中提出的各项支付金额的总和。</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供应商所填报的各项基价中的各种材料单价在合同实施期间不因市场价格变化因素而变动，供应商在报综合单价时应考虑各种风险因素和自己的承受能力。</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因设计变更引起工程项目、工程量变化的，变更合同价款详见合同条款。</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5.禁止</w:t>
      </w:r>
      <w:r>
        <w:rPr>
          <w:rFonts w:hint="eastAsia" w:ascii="宋体" w:hAnsi="宋体" w:eastAsia="宋体" w:cs="宋体"/>
          <w:color w:val="000000"/>
          <w:sz w:val="24"/>
        </w:rPr>
        <w:t xml:space="preserve">盲目压低报价。</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磋商报价的编制要求：</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招标的磋商报价时，不能进行磋商总价的优惠让利，供应商对磋商报价的任何优惠让利均应反映在相应清单项目的综合单价中，不可竞争费不得优惠让利。</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其他项目清单中的材料暂估价、暂列金额、专业工程暂估价、预留金均不能优惠，虽在开标时计入供应商的报价中，但不应视为供应商所有。</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工程量清单是按建设方提供相关的图纸、规范、标准图集和技术资料、《建设工程工程量清单计价规范》（GB50500-2013）及其工程量计算规范</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2007年《江苏省园林古建工程计价表》（上、下册）、2010年《江苏省房屋修缮工程计价表》（土建、安装）、2014年《江苏省建筑与装饰工程计价定额》、2014年《江苏省建设工程费用定额》营改增后调整内容、苏建价[2014]448号文、苏建价[2016]154号文、苏建函价[2019]178号文</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江苏省住房和城乡建设厅公告[2018]第24号、[2019]第19号</w:t>
      </w:r>
      <w:r>
        <w:rPr>
          <w:rFonts w:hint="eastAsia" w:ascii="宋体" w:hAnsi="宋体" w:eastAsia="宋体" w:cs="宋体"/>
          <w:color w:val="000000"/>
          <w:sz w:val="24"/>
          <w:lang w:eastAsia="zh-CN"/>
        </w:rPr>
        <w:t xml:space="preserve">、常建（2014）279号文、常建（2016）94号文、常建[2017]103号文、常建[2019]1号文</w:t>
      </w:r>
      <w:r>
        <w:rPr>
          <w:rFonts w:hint="eastAsia" w:ascii="宋体" w:hAnsi="宋体" w:eastAsia="宋体" w:cs="宋体"/>
          <w:color w:val="000000"/>
          <w:sz w:val="24"/>
        </w:rPr>
        <w:t xml:space="preserve">、江苏省机械台班计价定额含税价与除税价表、江苏省及常州市有关现行文件编制。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围挡）、工地施工过程管理、渣土装载运输等，应认真落实执行相关配套文件精神，有关费用承包人须在项目措施费中落实。</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供应商应按采购人提供的工程量清单填报价格，填写的项目编码、项目名称、项目特征、计量单位、工程量必须与采购人提供的一致。</w:t>
      </w:r>
      <w:r>
        <w:rPr>
          <w:rFonts w:hint="eastAsia" w:ascii="宋体" w:hAnsi="宋体" w:eastAsia="宋体" w:cs="宋体"/>
          <w:b/>
          <w:bCs/>
          <w:color w:val="000000"/>
          <w:sz w:val="24"/>
          <w:highlight w:val="none"/>
          <w:lang w:val="en-US" w:eastAsia="zh-CN"/>
        </w:rPr>
        <w:t xml:space="preserve">磋商报价不得高于最高限价和清单子目综合单价，且不得改变不可竞争费费率，否则作为无效响应处理。</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因工程变更造成施工方案变更,引起措施项目发生变化时。措施项目费进行相应的调整，详见合同条款。</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承包人供应主要材料一览表”中应注明供应商所选择的材料（设备）的品牌（或规格、型号、产地），未注明上述信息的，视为供应商同意由采购人选择相应材料（设备）的品牌（或规格、型号、产地），但材料（设备）价格不予调</w:t>
      </w:r>
      <w:r>
        <w:rPr>
          <w:rFonts w:hint="eastAsia" w:ascii="宋体" w:hAnsi="宋体" w:eastAsia="宋体" w:cs="宋体"/>
          <w:color w:val="000000"/>
          <w:sz w:val="24"/>
        </w:rPr>
        <w:t xml:space="preserve">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rPr>
          <w:rFonts w:hint="eastAsia" w:ascii="宋体" w:hAnsi="宋体" w:eastAsia="宋体" w:cs="宋体"/>
          <w:color w:val="000000"/>
          <w:sz w:val="24"/>
        </w:rPr>
      </w:r>
      <w:r/>
    </w:p>
    <w:p>
      <w:pPr>
        <w:pStyle w:val="937"/>
        <w:ind w:firstLine="480"/>
        <w:jc w:val="left"/>
        <w:keepLines w:val="0"/>
        <w:keepNext w:val="0"/>
        <w:pageBreakBefore w:val="0"/>
        <w:spacing w:line="360" w:lineRule="auto"/>
        <w:widowControl/>
        <w:rPr>
          <w:rFonts w:hint="eastAsia" w:ascii="宋体" w:hAnsi="宋体" w:eastAsia="宋体" w:cs="宋体"/>
          <w:color w:val="000000"/>
          <w:sz w:val="24"/>
        </w:rPr>
      </w:pP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用于本工程的所有材料、设备必须符合有关规范、设计图纸规定的质量要求。且所有材料及设备的品牌、规格型号、色号、产地、生产产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产家、参数、性能、价格等负责。</w:t>
      </w:r>
      <w:r>
        <w:rPr>
          <w:rFonts w:hint="eastAsia" w:ascii="宋体" w:hAnsi="宋体" w:eastAsia="宋体" w:cs="宋体"/>
          <w:color w:val="000000"/>
          <w:sz w:val="24"/>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7.供应商的最终报价作为评分依据，如最终报价与首次报价不一致，则</w:t>
      </w:r>
      <w:r>
        <w:rPr>
          <w:rFonts w:hint="eastAsia" w:ascii="宋体" w:hAnsi="宋体" w:eastAsia="宋体" w:cs="宋体"/>
          <w:b/>
          <w:bCs/>
          <w:color w:val="000000"/>
          <w:sz w:val="24"/>
        </w:rPr>
        <w:t xml:space="preserve">签订合同时</w:t>
      </w:r>
      <w:r>
        <w:rPr>
          <w:rFonts w:hint="eastAsia" w:ascii="宋体" w:hAnsi="宋体" w:eastAsia="宋体" w:cs="宋体"/>
          <w:b/>
          <w:bCs/>
          <w:color w:val="000000"/>
          <w:sz w:val="24"/>
          <w:lang w:val="en-US" w:eastAsia="zh-CN"/>
        </w:rPr>
        <w:t xml:space="preserve">各项投标</w:t>
      </w:r>
      <w:r>
        <w:rPr>
          <w:rFonts w:hint="eastAsia" w:ascii="宋体" w:hAnsi="宋体" w:eastAsia="宋体" w:cs="宋体"/>
          <w:b/>
          <w:bCs/>
          <w:color w:val="000000"/>
          <w:sz w:val="24"/>
        </w:rPr>
        <w:t xml:space="preserve">单价根据最终报价与首次报价之比</w:t>
      </w:r>
      <w:r>
        <w:rPr>
          <w:rFonts w:hint="eastAsia" w:ascii="宋体" w:hAnsi="宋体" w:eastAsia="宋体" w:cs="宋体"/>
          <w:b/>
          <w:bCs/>
          <w:color w:val="000000"/>
          <w:sz w:val="24"/>
          <w:lang w:val="en-US" w:eastAsia="zh-CN"/>
        </w:rPr>
        <w:t xml:space="preserve">同比例下浮（暂列金额（含规费及税金）、暂估价（含规费及税金）等不可竞争的费用除外）。</w:t>
      </w:r>
      <w:r>
        <w:rPr>
          <w:rFonts w:hint="eastAsia" w:ascii="宋体" w:hAnsi="宋体" w:eastAsia="宋体" w:cs="宋体"/>
          <w:b/>
          <w:bCs/>
          <w:color w:val="000000"/>
          <w:sz w:val="24"/>
          <w:lang w:val="en-US" w:eastAsia="zh-CN"/>
        </w:rPr>
      </w:r>
      <w:r/>
    </w:p>
    <w:p>
      <w:pPr>
        <w:pStyle w:val="937"/>
        <w:ind w:firstLine="482"/>
        <w:jc w:val="left"/>
        <w:keepLines w:val="0"/>
        <w:keepNext w:val="0"/>
        <w:pageBreakBefore w:val="0"/>
        <w:spacing w:line="360" w:lineRule="auto"/>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五、验收要求</w:t>
      </w:r>
      <w:r>
        <w:rPr>
          <w:rFonts w:hint="eastAsia" w:ascii="宋体" w:hAnsi="宋体" w:eastAsia="宋体" w:cs="宋体"/>
          <w:b/>
          <w:bCs/>
          <w:color w:val="000000"/>
          <w:sz w:val="24"/>
          <w:highlight w:val="none"/>
          <w:lang w:val="en-US" w:eastAsia="zh-CN"/>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1.</w:t>
      </w:r>
      <w:r>
        <w:rPr>
          <w:rFonts w:hint="eastAsia" w:cs="宋体"/>
          <w:color w:val="000000"/>
          <w:sz w:val="24"/>
          <w:szCs w:val="24"/>
          <w:highlight w:val="none"/>
        </w:rPr>
        <w:t xml:space="preserve">本工程以施工图纸、作法说明、设计变更和相关质量验收标准等国家制订的施工及验收规范为质量评定验收标准。</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2.采购人</w:t>
      </w:r>
      <w:r>
        <w:rPr>
          <w:rFonts w:hint="eastAsia" w:cs="宋体"/>
          <w:color w:val="000000"/>
          <w:sz w:val="24"/>
          <w:szCs w:val="24"/>
          <w:highlight w:val="none"/>
        </w:rPr>
        <w:t xml:space="preserve">要求竣工工程质量必须达到</w:t>
      </w:r>
      <w:r>
        <w:rPr>
          <w:rFonts w:hint="eastAsia" w:cs="宋体"/>
          <w:color w:val="000000"/>
          <w:sz w:val="24"/>
          <w:szCs w:val="24"/>
          <w:highlight w:val="none"/>
          <w:u w:val="single"/>
        </w:rPr>
        <w:t xml:space="preserve">一次性验收合格</w:t>
      </w:r>
      <w:r>
        <w:rPr>
          <w:rFonts w:hint="eastAsia" w:cs="宋体"/>
          <w:color w:val="000000"/>
          <w:sz w:val="24"/>
          <w:szCs w:val="24"/>
          <w:highlight w:val="none"/>
        </w:rPr>
        <w:t xml:space="preserve">。</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3.</w:t>
      </w:r>
      <w:r>
        <w:rPr>
          <w:rFonts w:hint="eastAsia" w:cs="宋体"/>
          <w:color w:val="000000"/>
          <w:sz w:val="24"/>
          <w:szCs w:val="24"/>
          <w:highlight w:val="none"/>
        </w:rPr>
        <w:t xml:space="preserve">及时办理隐蔽工程和中间工程的检查与验收手续。</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不按时参加隐蔽工程和中间工程验收，</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可自行验收，</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应予承认。若</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要求复验时，</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应按要求办理复验。若复验合格，</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应承担复验费用，由此造成停工，工期顺延；若复验不合格，其复验及返工费用由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承担，但工期也予顺延。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4.供应商</w:t>
      </w:r>
      <w:r>
        <w:rPr>
          <w:rFonts w:hint="eastAsia" w:cs="宋体"/>
          <w:color w:val="000000"/>
          <w:sz w:val="24"/>
          <w:szCs w:val="24"/>
          <w:highlight w:val="none"/>
        </w:rPr>
        <w:t xml:space="preserve">负责招标的材料，应严格按竞争性磋商文件要求招标,并提供产品合格证明,对材料质量负责。材料在使用前,应按照</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的要求进行检验或试验,不合格的不得使用,检验或试验费用由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5.</w:t>
      </w:r>
      <w:r>
        <w:rPr>
          <w:rFonts w:hint="eastAsia" w:cs="宋体"/>
          <w:color w:val="000000"/>
          <w:sz w:val="24"/>
          <w:szCs w:val="24"/>
          <w:highlight w:val="none"/>
        </w:rPr>
        <w:t xml:space="preserve">由于</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提供的材料、设备质量不合格而影响工程质量，其返工费用由</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承担，工期顺延。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6.</w:t>
      </w:r>
      <w:r>
        <w:rPr>
          <w:rFonts w:hint="eastAsia" w:cs="宋体"/>
          <w:color w:val="000000"/>
          <w:sz w:val="24"/>
          <w:szCs w:val="24"/>
          <w:highlight w:val="none"/>
        </w:rPr>
        <w:t xml:space="preserve">由于</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原因造成质量事故，其损失及费用由</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承担，工期不顺延。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lang w:val="en-US" w:eastAsia="zh-CN"/>
        </w:rPr>
        <w:t xml:space="preserve">7.</w:t>
      </w:r>
      <w:r>
        <w:rPr>
          <w:rFonts w:hint="eastAsia" w:cs="宋体"/>
          <w:color w:val="000000"/>
          <w:sz w:val="24"/>
          <w:szCs w:val="24"/>
          <w:highlight w:val="none"/>
        </w:rPr>
        <w:t xml:space="preserve">工程竣工后，</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应通知</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验收，</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自接到验收通知</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7</w:t>
      </w:r>
      <w:r>
        <w:rPr>
          <w:rFonts w:hint="eastAsia" w:cs="宋体"/>
          <w:color w:val="000000"/>
          <w:sz w:val="24"/>
          <w:szCs w:val="24"/>
          <w:highlight w:val="none"/>
          <w:u w:val="single"/>
        </w:rPr>
        <w:t xml:space="preserve">  </w:t>
      </w:r>
      <w:r>
        <w:rPr>
          <w:rFonts w:hint="eastAsia" w:cs="宋体"/>
          <w:color w:val="000000"/>
          <w:sz w:val="24"/>
          <w:szCs w:val="24"/>
          <w:highlight w:val="none"/>
        </w:rPr>
        <w:t xml:space="preserve">日内组织验收，并办理验收、移交手续。如</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在规定时间内未能组织验收，需及时通知</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，另定验收日期。但</w:t>
      </w:r>
      <w:r>
        <w:rPr>
          <w:rFonts w:hint="eastAsia" w:cs="宋体"/>
          <w:color w:val="000000"/>
          <w:sz w:val="24"/>
          <w:szCs w:val="24"/>
          <w:highlight w:val="none"/>
          <w:lang w:val="en-US" w:eastAsia="zh-CN"/>
        </w:rPr>
        <w:t xml:space="preserve">采购人</w:t>
      </w:r>
      <w:r>
        <w:rPr>
          <w:rFonts w:hint="eastAsia" w:cs="宋体"/>
          <w:color w:val="000000"/>
          <w:sz w:val="24"/>
          <w:szCs w:val="24"/>
          <w:highlight w:val="none"/>
        </w:rPr>
        <w:t xml:space="preserve">应承认竣工日期，并承担</w:t>
      </w:r>
      <w:r>
        <w:rPr>
          <w:rFonts w:hint="eastAsia" w:cs="宋体"/>
          <w:color w:val="000000"/>
          <w:sz w:val="24"/>
          <w:szCs w:val="24"/>
          <w:highlight w:val="none"/>
          <w:lang w:val="en-US" w:eastAsia="zh-CN"/>
        </w:rPr>
        <w:t xml:space="preserve">供应商</w:t>
      </w:r>
      <w:r>
        <w:rPr>
          <w:rFonts w:hint="eastAsia" w:cs="宋体"/>
          <w:color w:val="000000"/>
          <w:sz w:val="24"/>
          <w:szCs w:val="24"/>
          <w:highlight w:val="none"/>
        </w:rPr>
        <w:t xml:space="preserve">的看管费用和相关费用。</w:t>
      </w:r>
      <w:r>
        <w:rPr>
          <w:rFonts w:hint="eastAsia" w:cs="宋体"/>
          <w:color w:val="000000"/>
          <w:sz w:val="24"/>
          <w:szCs w:val="24"/>
          <w:highlight w:val="none"/>
        </w:rPr>
      </w:r>
      <w:r/>
    </w:p>
    <w:p>
      <w:pPr>
        <w:pStyle w:val="937"/>
        <w:ind w:firstLine="482"/>
        <w:jc w:val="left"/>
        <w:keepLines w:val="0"/>
        <w:keepNext w:val="0"/>
        <w:pageBreakBefore w:val="0"/>
        <w:spacing w:line="360" w:lineRule="auto"/>
        <w:widowControl/>
        <w:rPr>
          <w:rFonts w:ascii="宋体" w:hAnsi="宋体" w:eastAsia="宋体" w:cs="宋体"/>
          <w:b/>
          <w:bCs/>
          <w:color w:val="000000"/>
          <w:sz w:val="24"/>
          <w:lang w:val="en-US" w:eastAsia="zh-CN"/>
        </w:rPr>
      </w:pPr>
      <w:r>
        <w:rPr>
          <w:rFonts w:ascii="宋体" w:hAnsi="宋体" w:eastAsia="宋体" w:cs="宋体"/>
          <w:b/>
          <w:bCs/>
          <w:color w:val="000000"/>
          <w:sz w:val="24"/>
          <w:lang w:val="en-US" w:eastAsia="zh-CN"/>
        </w:rPr>
      </w:r>
      <w:r/>
    </w:p>
    <w:p>
      <w:pPr>
        <w:pStyle w:val="937"/>
        <w:ind w:firstLine="482"/>
        <w:jc w:val="lef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r>
      <w:r/>
    </w:p>
    <w:p>
      <w:pPr>
        <w:pStyle w:val="937"/>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附件：</w:t>
      </w:r>
      <w:r>
        <w:rPr>
          <w:rFonts w:hint="eastAsia" w:ascii="宋体" w:hAnsi="宋体" w:eastAsia="宋体" w:cs="宋体"/>
          <w:b/>
          <w:bCs/>
          <w:color w:val="000000"/>
          <w:sz w:val="24"/>
          <w:highlight w:val="none"/>
          <w:lang w:val="en-US" w:eastAsia="zh-CN"/>
        </w:rPr>
        <w:t xml:space="preserve">招标控制价（工程量清单）</w:t>
      </w:r>
      <w:r>
        <w:rPr>
          <w:rFonts w:hint="eastAsia" w:ascii="宋体" w:hAnsi="宋体" w:eastAsia="宋体" w:cs="宋体"/>
          <w:b/>
          <w:bCs/>
          <w:color w:val="000000"/>
          <w:sz w:val="24"/>
          <w:highlight w:val="none"/>
          <w:lang w:val="en-US" w:eastAsia="zh-CN"/>
        </w:rPr>
      </w:r>
      <w:r/>
    </w:p>
    <w:p>
      <w:pPr>
        <w:pStyle w:val="937"/>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r>
      <w:r/>
    </w:p>
    <w:p>
      <w:pPr>
        <w:pStyle w:val="937"/>
        <w:ind w:firstLine="482"/>
        <w:jc w:val="left"/>
        <w:widowControl/>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6" o:title=""/>
          </v:shape>
          <o:OLEObject DrawAspect="Content" r:id="rId17" ObjectID="_1525043" ProgID="Package" ShapeID="_x0000_i3" Type="Embed"/>
        </w:object>
      </w:r>
      <w:r>
        <w:rPr>
          <w:rFonts w:hint="eastAsia" w:ascii="宋体" w:hAnsi="宋体" w:eastAsia="宋体" w:cs="宋体"/>
          <w:b/>
          <w:bCs/>
          <w:color w:val="000000"/>
          <w:sz w:val="24"/>
          <w:highlight w:val="none"/>
          <w:lang w:val="en-US" w:eastAsia="zh-CN"/>
        </w:rPr>
      </w:r>
      <w:r/>
    </w:p>
    <w:p>
      <w:pPr>
        <w:pStyle w:val="937"/>
        <w:ind w:firstLine="482"/>
        <w:jc w:val="left"/>
        <w:widowControl/>
        <w:rPr>
          <w:b/>
          <w:color w:val="000000"/>
          <w:sz w:val="36"/>
          <w:szCs w:val="36"/>
          <w:highlight w:val="none"/>
        </w:rPr>
      </w:pPr>
      <w:r>
        <w:rPr>
          <w:rFonts w:hint="eastAsia" w:ascii="宋体" w:hAnsi="宋体" w:eastAsia="宋体" w:cs="宋体"/>
          <w:b/>
          <w:bCs/>
          <w:color w:val="000000"/>
          <w:sz w:val="24"/>
          <w:highlight w:val="none"/>
          <w:lang w:val="en-US" w:eastAsia="zh-CN"/>
        </w:rPr>
        <w:t xml:space="preserve">双击打开</w:t>
      </w:r>
      <w:r>
        <w:rPr>
          <w:b/>
          <w:color w:val="000000"/>
          <w:sz w:val="36"/>
          <w:szCs w:val="36"/>
          <w:highlight w:val="none"/>
        </w:rPr>
        <w:br w:type="page" w:clear="all"/>
      </w:r>
      <w:r>
        <w:rPr>
          <w:b/>
          <w:color w:val="000000"/>
          <w:sz w:val="36"/>
          <w:szCs w:val="36"/>
          <w:highlight w:val="none"/>
        </w:rPr>
      </w:r>
      <w:r/>
    </w:p>
    <w:p>
      <w:pPr>
        <w:pStyle w:val="937"/>
        <w:numPr>
          <w:ilvl w:val="0"/>
          <w:numId w:val="12"/>
        </w:numPr>
        <w:jc w:val="center"/>
        <w:spacing w:line="360" w:lineRule="auto"/>
        <w:widowControl/>
        <w:rPr>
          <w:rFonts w:ascii="宋体" w:hAnsi="宋体"/>
          <w:b/>
          <w:sz w:val="32"/>
          <w:szCs w:val="32"/>
        </w:rPr>
      </w:pPr>
      <w:r/>
      <w:bookmarkStart w:id="651" w:name="_Toc19655"/>
      <w:r>
        <w:rPr>
          <w:b/>
          <w:color w:val="000000"/>
          <w:sz w:val="36"/>
          <w:szCs w:val="36"/>
          <w:highlight w:val="none"/>
        </w:rPr>
        <w:t xml:space="preserve">  </w:t>
      </w:r>
      <w:r>
        <w:rPr>
          <w:rFonts w:ascii="宋体" w:hAnsi="宋体"/>
          <w:b/>
          <w:sz w:val="32"/>
          <w:szCs w:val="32"/>
        </w:rPr>
        <w:t xml:space="preserve">合同草案条款</w:t>
      </w:r>
      <w:r>
        <w:rPr>
          <w:rFonts w:ascii="宋体" w:hAnsi="宋体"/>
          <w:b/>
          <w:sz w:val="32"/>
          <w:szCs w:val="32"/>
        </w:rPr>
      </w:r>
      <w:r/>
    </w:p>
    <w:p>
      <w:pPr>
        <w:pStyle w:val="976"/>
        <w:ind w:firstLine="241"/>
        <w:keepLines w:val="0"/>
        <w:keepNext w:val="0"/>
        <w:pageBreakBefore w:val="0"/>
        <w:spacing w:line="360" w:lineRule="auto"/>
        <w:widowControl w:val="off"/>
        <w:rPr>
          <w:rFonts w:cs="宋体"/>
          <w:color w:val="000000"/>
          <w:sz w:val="24"/>
          <w:szCs w:val="24"/>
          <w:highlight w:val="none"/>
        </w:rPr>
      </w:pPr>
      <w:r>
        <w:rPr>
          <w:rFonts w:cs="宋体"/>
          <w:b/>
          <w:color w:val="000000"/>
          <w:sz w:val="24"/>
          <w:szCs w:val="24"/>
          <w:highlight w:val="none"/>
          <w:lang w:val="zh-CN"/>
        </w:rPr>
        <w:t xml:space="preserve">招标人（以下称甲</w:t>
      </w:r>
      <w:r>
        <w:rPr>
          <w:rFonts w:cs="宋体"/>
          <w:b/>
          <w:color w:val="000000"/>
          <w:sz w:val="24"/>
          <w:szCs w:val="24"/>
          <w:highlight w:val="none"/>
        </w:rPr>
        <w:t xml:space="preserve">方）:                       </w:t>
      </w:r>
      <w:r>
        <w:rPr>
          <w:rFonts w:cs="宋体"/>
          <w:color w:val="000000"/>
          <w:sz w:val="24"/>
          <w:szCs w:val="24"/>
          <w:highlight w:val="none"/>
        </w:rPr>
        <w:t xml:space="preserve">合同编号：</w:t>
      </w:r>
      <w:r>
        <w:rPr>
          <w:rFonts w:cs="宋体"/>
          <w:color w:val="000000"/>
          <w:sz w:val="24"/>
          <w:szCs w:val="24"/>
          <w:highlight w:val="none"/>
        </w:rPr>
      </w:r>
      <w:r/>
    </w:p>
    <w:p>
      <w:pPr>
        <w:pStyle w:val="976"/>
        <w:ind w:firstLine="241"/>
        <w:keepLines w:val="0"/>
        <w:keepNext w:val="0"/>
        <w:pageBreakBefore w:val="0"/>
        <w:spacing w:line="360" w:lineRule="auto"/>
        <w:widowControl w:val="off"/>
        <w:rPr>
          <w:rFonts w:cs="宋体"/>
          <w:color w:val="000000"/>
          <w:sz w:val="24"/>
          <w:szCs w:val="24"/>
          <w:highlight w:val="none"/>
          <w:u w:val="single"/>
        </w:rPr>
      </w:pPr>
      <w:r>
        <w:rPr>
          <w:rFonts w:cs="宋体"/>
          <w:b/>
          <w:color w:val="000000"/>
          <w:sz w:val="24"/>
          <w:szCs w:val="24"/>
          <w:highlight w:val="none"/>
        </w:rPr>
        <w:t xml:space="preserve">供应商（</w:t>
      </w:r>
      <w:r>
        <w:rPr>
          <w:rFonts w:cs="宋体"/>
          <w:b/>
          <w:color w:val="000000"/>
          <w:sz w:val="24"/>
          <w:szCs w:val="24"/>
          <w:highlight w:val="none"/>
          <w:lang w:val="zh-CN"/>
        </w:rPr>
        <w:t xml:space="preserve">以下称</w:t>
      </w:r>
      <w:r>
        <w:rPr>
          <w:rFonts w:cs="宋体"/>
          <w:b/>
          <w:color w:val="000000"/>
          <w:sz w:val="24"/>
          <w:szCs w:val="24"/>
          <w:highlight w:val="none"/>
        </w:rPr>
        <w:t xml:space="preserve">乙方）:                       </w:t>
      </w:r>
      <w:r>
        <w:rPr>
          <w:rFonts w:cs="宋体"/>
          <w:color w:val="000000"/>
          <w:sz w:val="24"/>
          <w:szCs w:val="24"/>
          <w:highlight w:val="none"/>
        </w:rPr>
        <w:t xml:space="preserve">签订地点：</w:t>
      </w:r>
      <w:r>
        <w:rPr>
          <w:rFonts w:cs="宋体"/>
          <w:color w:val="000000"/>
          <w:sz w:val="24"/>
          <w:szCs w:val="24"/>
          <w:highlight w:val="none"/>
          <w:u w:val="single"/>
        </w:rPr>
      </w:r>
      <w:r/>
    </w:p>
    <w:p>
      <w:pPr>
        <w:pStyle w:val="951"/>
        <w:ind w:firstLine="5520"/>
        <w:keepLines w:val="0"/>
        <w:keepNext w:val="0"/>
        <w:pageBreakBefore w:val="0"/>
        <w:spacing w:line="288" w:lineRule="auto"/>
        <w:widowControl w:val="off"/>
        <w:rPr>
          <w:rFonts w:hAnsi="宋体" w:cs="宋体"/>
          <w:b/>
          <w:color w:val="000000"/>
          <w:sz w:val="24"/>
          <w:szCs w:val="24"/>
          <w:highlight w:val="none"/>
        </w:rPr>
      </w:pPr>
      <w:r>
        <w:rPr>
          <w:rFonts w:hint="eastAsia" w:cs="宋体"/>
          <w:color w:val="000000"/>
          <w:sz w:val="24"/>
          <w:szCs w:val="24"/>
          <w:highlight w:val="none"/>
        </w:rPr>
        <w:t xml:space="preserve">合同时间: </w:t>
      </w:r>
      <w:r>
        <w:rPr>
          <w:rFonts w:hint="eastAsia" w:cs="宋体"/>
          <w:color w:val="000000"/>
          <w:sz w:val="24"/>
          <w:szCs w:val="24"/>
          <w:highlight w:val="none"/>
          <w:u w:val="single"/>
        </w:rPr>
        <w:t xml:space="preserve">    年   月   日</w:t>
      </w:r>
      <w:r>
        <w:rPr>
          <w:rFonts w:hAnsi="宋体" w:cs="宋体"/>
          <w:b/>
          <w:color w:val="000000"/>
          <w:sz w:val="24"/>
          <w:szCs w:val="24"/>
          <w:highlight w:val="non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按照《中华人民共和国民法典》及有关规定，结合本工程具体情况，双方达成如下协议。</w:t>
      </w:r>
      <w:r>
        <w:rPr>
          <w:rFonts w:hint="eastAsia" w:cs="宋体"/>
          <w:color w:val="000000"/>
          <w:sz w:val="24"/>
          <w:szCs w:val="24"/>
          <w:highlight w:val="none"/>
        </w:rPr>
      </w:r>
      <w:r/>
    </w:p>
    <w:p>
      <w:pPr>
        <w:pStyle w:val="968"/>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第1条  工程概况</w:t>
      </w:r>
      <w:r>
        <w:rPr>
          <w:rFonts w:hint="eastAsia" w:cs="宋体"/>
          <w:color w:val="000000"/>
          <w:sz w:val="24"/>
          <w:szCs w:val="24"/>
          <w:highlight w:val="non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1.1  工程名称：</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rPr>
        <w:t xml:space="preserve">  </w:t>
      </w:r>
      <w:r>
        <w:rPr>
          <w:rFonts w:hint="eastAsia" w:cs="宋体"/>
          <w:color w:val="000000"/>
          <w:sz w:val="24"/>
          <w:szCs w:val="24"/>
          <w:highlight w:val="non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u w:val="single"/>
        </w:rPr>
      </w:pPr>
      <w:r>
        <w:rPr>
          <w:rFonts w:hint="eastAsia" w:cs="宋体"/>
          <w:color w:val="000000"/>
          <w:sz w:val="24"/>
          <w:szCs w:val="24"/>
          <w:highlight w:val="none"/>
        </w:rPr>
        <w:t xml:space="preserve">1.2  工程地点：</w:t>
      </w:r>
      <w:r>
        <w:rPr>
          <w:rFonts w:hint="eastAsia" w:cs="宋体"/>
          <w:color w:val="000000"/>
          <w:sz w:val="24"/>
          <w:szCs w:val="24"/>
          <w:highlight w:val="none"/>
          <w:u w:val="single"/>
        </w:rPr>
        <w:t xml:space="preserve">                                    </w:t>
      </w:r>
      <w:r>
        <w:rPr>
          <w:rFonts w:hint="eastAsia" w:cs="宋体"/>
          <w:color w:val="000000"/>
          <w:sz w:val="24"/>
          <w:szCs w:val="24"/>
          <w:highlight w:val="none"/>
          <w:u w:val="singl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1.3  承包范围:</w:t>
      </w:r>
      <w:r>
        <w:rPr>
          <w:rFonts w:hint="eastAsia" w:cs="宋体"/>
          <w:color w:val="000000"/>
          <w:sz w:val="24"/>
          <w:szCs w:val="24"/>
          <w:highlight w:val="none"/>
          <w:u w:val="single"/>
        </w:rPr>
        <w:t xml:space="preserve">   采购文件、清单范围内的全部工作内容 </w:t>
      </w:r>
      <w:r>
        <w:rPr>
          <w:rFonts w:hint="eastAsia" w:cs="宋体"/>
          <w:color w:val="000000"/>
          <w:sz w:val="24"/>
          <w:szCs w:val="24"/>
          <w:highlight w:val="non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1.4  承包方式:                                             </w:t>
      </w:r>
      <w:r>
        <w:rPr>
          <w:rFonts w:hint="eastAsia" w:cs="宋体"/>
          <w:color w:val="000000"/>
          <w:sz w:val="24"/>
          <w:szCs w:val="24"/>
          <w:highlight w:val="none"/>
        </w:rPr>
      </w:r>
      <w:r/>
    </w:p>
    <w:p>
      <w:pPr>
        <w:pStyle w:val="968"/>
        <w:ind w:firstLine="480"/>
        <w:keepLines w:val="0"/>
        <w:keepNext w:val="0"/>
        <w:pageBreakBefore w:val="0"/>
        <w:spacing w:line="288"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cs="宋体"/>
          <w:color w:val="000000"/>
          <w:sz w:val="24"/>
          <w:szCs w:val="24"/>
          <w:highlight w:val="none"/>
        </w:rPr>
        <w:t xml:space="preserve">1.5  工期:</w:t>
      </w:r>
      <w:r>
        <w:rPr>
          <w:rFonts w:hint="eastAsia" w:ascii="宋体" w:hAnsi="宋体" w:eastAsia="宋体" w:cs="宋体"/>
          <w:color w:val="000000"/>
          <w:sz w:val="24"/>
          <w:szCs w:val="24"/>
          <w:highlight w:val="none"/>
          <w:lang w:val="en-US" w:eastAsia="zh-CN" w:bidi="ar-SA"/>
        </w:rPr>
        <w:t xml:space="preserve">本工程以甲方发出的开工令通知为准，施工工期为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天，同时施工工期必须严格服从甲方的安排，满足工程进度的要求。</w:t>
      </w:r>
      <w:r>
        <w:rPr>
          <w:rFonts w:hint="eastAsia" w:ascii="宋体" w:hAnsi="宋体" w:eastAsia="宋体" w:cs="宋体"/>
          <w:color w:val="000000"/>
          <w:sz w:val="24"/>
          <w:szCs w:val="24"/>
          <w:highlight w:val="none"/>
          <w:lang w:val="en-US" w:eastAsia="zh-CN" w:bidi="ar-SA"/>
        </w:rPr>
      </w:r>
      <w:r/>
    </w:p>
    <w:p>
      <w:pPr>
        <w:pStyle w:val="968"/>
        <w:ind w:firstLine="480"/>
        <w:keepLines w:val="0"/>
        <w:keepNext w:val="0"/>
        <w:pageBreakBefore w:val="0"/>
        <w:spacing w:line="288" w:lineRule="auto"/>
        <w:widowControl w:val="off"/>
        <w:tabs>
          <w:tab w:val="left" w:pos="567" w:leader="none"/>
        </w:tabs>
        <w:rPr>
          <w:rFonts w:hint="eastAsia" w:ascii="宋体" w:hAnsi="宋体" w:eastAsia="宋体" w:cs="宋体"/>
          <w:color w:val="000000"/>
          <w:sz w:val="24"/>
          <w:szCs w:val="24"/>
          <w:highlight w:val="none"/>
          <w:u w:val="single"/>
        </w:rPr>
      </w:pPr>
      <w:r>
        <w:rPr>
          <w:rFonts w:hint="eastAsia" w:cs="宋体"/>
          <w:color w:val="000000"/>
          <w:sz w:val="24"/>
          <w:szCs w:val="24"/>
          <w:highlight w:val="none"/>
        </w:rPr>
        <w:t xml:space="preserve">1.6  工程质量：</w:t>
      </w:r>
      <w:r>
        <w:rPr>
          <w:rFonts w:hint="eastAsia" w:ascii="宋体" w:hAnsi="宋体" w:eastAsia="宋体" w:cs="宋体"/>
          <w:color w:val="000000"/>
          <w:sz w:val="24"/>
          <w:szCs w:val="24"/>
          <w:highlight w:val="none"/>
          <w:u w:val="single"/>
        </w:rPr>
        <w:t xml:space="preserve">一次性验收合格且符合本工程的质量标准。</w:t>
      </w:r>
      <w:r>
        <w:rPr>
          <w:rFonts w:hint="eastAsia" w:ascii="宋体" w:hAnsi="宋体" w:eastAsia="宋体" w:cs="宋体"/>
          <w:color w:val="000000"/>
          <w:sz w:val="24"/>
          <w:szCs w:val="24"/>
          <w:highlight w:val="none"/>
          <w:u w:val="single"/>
        </w:rPr>
      </w:r>
      <w:r/>
    </w:p>
    <w:p>
      <w:pPr>
        <w:pStyle w:val="968"/>
        <w:ind w:firstLine="480"/>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1.7  合同价款(人民币大写):</w:t>
      </w:r>
      <w:r>
        <w:rPr>
          <w:rFonts w:hint="eastAsia" w:cs="宋体"/>
          <w:color w:val="000000"/>
          <w:sz w:val="24"/>
          <w:szCs w:val="24"/>
          <w:highlight w:val="none"/>
        </w:rPr>
      </w:r>
      <w:r/>
    </w:p>
    <w:p>
      <w:pPr>
        <w:pStyle w:val="937"/>
        <w:keepLines w:val="0"/>
        <w:keepNext w:val="0"/>
        <w:pageBreakBefore w:val="0"/>
        <w:spacing w:line="288" w:lineRule="auto"/>
        <w:widowControl w:val="off"/>
        <w:rPr>
          <w:rFonts w:eastAsia="宋体"/>
          <w:sz w:val="24"/>
          <w:szCs w:val="24"/>
          <w:lang w:val="en-US" w:eastAsia="zh-CN"/>
        </w:rPr>
      </w:pPr>
      <w:r>
        <w:rPr>
          <w:rFonts w:hint="eastAsia" w:cs="宋体"/>
          <w:color w:val="000000"/>
          <w:sz w:val="24"/>
          <w:szCs w:val="24"/>
          <w:highlight w:val="none"/>
          <w:lang w:val="en-US" w:eastAsia="zh-CN"/>
        </w:rPr>
        <w:t xml:space="preserve">         开具</w:t>
      </w:r>
      <w:r>
        <w:rPr>
          <w:rFonts w:hint="eastAsia" w:ascii="宋体" w:hAnsi="宋体" w:eastAsia="宋体" w:cs="宋体"/>
          <w:color w:val="000000"/>
          <w:sz w:val="24"/>
          <w:szCs w:val="24"/>
          <w:highlight w:val="none"/>
          <w:u w:val="single"/>
          <w:lang w:val="en-US" w:eastAsia="zh-CN" w:bidi="ar-SA"/>
        </w:rPr>
        <w:t xml:space="preserve">   </w:t>
      </w:r>
      <w:r>
        <w:rPr>
          <w:rFonts w:hint="eastAsia" w:cs="宋体"/>
          <w:color w:val="000000"/>
          <w:sz w:val="24"/>
          <w:szCs w:val="24"/>
          <w:highlight w:val="none"/>
          <w:lang w:val="en-US" w:eastAsia="zh-CN"/>
        </w:rPr>
        <w:t xml:space="preserve"> %税点的发票。</w:t>
      </w:r>
      <w:r>
        <w:rPr>
          <w:rFonts w:eastAsia="宋体"/>
          <w:sz w:val="24"/>
          <w:szCs w:val="24"/>
          <w:lang w:val="en-US" w:eastAsia="zh-CN"/>
        </w:rPr>
      </w:r>
      <w:r/>
    </w:p>
    <w:p>
      <w:pPr>
        <w:pStyle w:val="968"/>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第2条  甲方工作</w:t>
      </w:r>
      <w:r>
        <w:rPr>
          <w:rFonts w:hint="eastAsia"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开工前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天,向乙方提供经确认的施工图纸或作法说明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份,并向乙方进行现场交底。向乙方提供施工所需的水、电、气及电讯等设备，并说明使用注意事项。办理施工所涉及的各种申请、批件等手续。</w:t>
      </w:r>
      <w:r>
        <w:rPr>
          <w:rFonts w:hint="eastAsia" w:ascii="宋体" w:hAnsi="宋体"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2.2  指派</w:t>
      </w:r>
      <w:r>
        <w:rPr>
          <w:rFonts w:hint="eastAsia" w:cs="宋体"/>
          <w:color w:val="000000"/>
          <w:sz w:val="24"/>
          <w:szCs w:val="24"/>
          <w:highlight w:val="none"/>
          <w:u w:val="single"/>
        </w:rPr>
        <w:t xml:space="preserve">        </w:t>
      </w:r>
      <w:r>
        <w:rPr>
          <w:rFonts w:hint="eastAsia" w:cs="宋体"/>
          <w:color w:val="000000"/>
          <w:sz w:val="24"/>
          <w:szCs w:val="24"/>
          <w:highlight w:val="none"/>
        </w:rPr>
        <w:t xml:space="preserve">为甲方驻工地代表，负责合同履行。对工程质量、进度进行监督检查，办理验收、变更、登记手续和其他事宜。</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2.3 如确实需要拆改原建筑物结构或设备管线，负责到有关部门办理相应审批手续。</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2.4  协调有关部门做好现场保卫、消防、垃圾处理等工作，并承担相应费用。</w:t>
      </w:r>
      <w:r>
        <w:rPr>
          <w:rFonts w:hint="eastAsia" w:cs="宋体"/>
          <w:color w:val="000000"/>
          <w:sz w:val="24"/>
          <w:szCs w:val="24"/>
          <w:highlight w:val="none"/>
        </w:rPr>
      </w:r>
      <w:r/>
    </w:p>
    <w:p>
      <w:pPr>
        <w:pStyle w:val="968"/>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第3条  乙方工作</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3.1  参加甲方组织的施工图纸或作法说明的现场交底，拟定施工方案和进度计划，交甲方审定。</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3.2  指派</w:t>
      </w:r>
      <w:r>
        <w:rPr>
          <w:rFonts w:hint="eastAsia" w:cs="宋体"/>
          <w:color w:val="000000"/>
          <w:sz w:val="24"/>
          <w:szCs w:val="24"/>
          <w:highlight w:val="none"/>
          <w:u w:val="single"/>
        </w:rPr>
        <w:t xml:space="preserve">                </w:t>
      </w:r>
      <w:r>
        <w:rPr>
          <w:rFonts w:hint="eastAsia" w:cs="宋体"/>
          <w:color w:val="000000"/>
          <w:sz w:val="24"/>
          <w:szCs w:val="24"/>
          <w:highlight w:val="none"/>
        </w:rPr>
        <w:t xml:space="preserve">为乙方驻工地代表，负责合同履行。按要求组织施工，保质、保量、按期完成施工任务，解决由乙方负责的各项事宜。</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3.3  严格执行施工规范、安全操作规程、防火安全规定。严格按照图纸或作法说明进行施工，做好各项质量检查记录。参加竣工验收，编制工程结算。</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3.4  服从甲方合理合法管理，按甲方要求，配合甲方做好施工进度、施工质量监管及材料进场验收（不限于以上内容）等一切与施工有关的监管工作。</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3.6施工中未经甲方同意或有关部门批准，不得随便拆改原建筑物结构及各种设备管线。</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3.7工程竣工未移交甲方之前，负责对现场的一切设施和工程成品进行保护。</w:t>
      </w:r>
      <w:r>
        <w:rPr>
          <w:rFonts w:hint="eastAsia" w:cs="宋体"/>
          <w:color w:val="000000"/>
          <w:sz w:val="24"/>
          <w:szCs w:val="24"/>
          <w:highlight w:val="none"/>
        </w:rPr>
      </w:r>
      <w:r/>
    </w:p>
    <w:p>
      <w:pPr>
        <w:pStyle w:val="968"/>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第4条  关于工期的约定</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4.1  甲方要求比合同约定的工期提前竣工时，应征得乙方同意，并支付乙方因赶工采取的措施费用。</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4.2  因甲方未按约定完成工作，影响工期，工期顺延。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4.3  因乙方责任，不能按期开工或中途无故停工，影响工期，工期不得顺延。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4.4  因设计变更或非乙方原因造成的停电、停水、停气及不可抗力因素，导致停工8小时以上（一周内累计计算），工期相应顺延。</w:t>
      </w:r>
      <w:r>
        <w:rPr>
          <w:rFonts w:hint="eastAsia" w:cs="宋体"/>
          <w:color w:val="000000"/>
          <w:sz w:val="24"/>
          <w:szCs w:val="24"/>
          <w:highlight w:val="none"/>
        </w:rPr>
      </w:r>
      <w:r/>
    </w:p>
    <w:p>
      <w:pPr>
        <w:pStyle w:val="968"/>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第5条  关于工程质量及验收的约定</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5.1  本工程以施工图纸、作法说明、设计变更和相关质量验收标准等国家制订的施工及验收规范为质量评定验收标准。</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5.2  业主要求中标单位的竣工工程质量必须达到</w:t>
      </w:r>
      <w:r>
        <w:rPr>
          <w:rFonts w:hint="eastAsia" w:cs="宋体"/>
          <w:color w:val="000000"/>
          <w:sz w:val="24"/>
          <w:szCs w:val="24"/>
          <w:highlight w:val="none"/>
          <w:u w:val="single"/>
        </w:rPr>
        <w:t xml:space="preserve">一次性验收合格</w:t>
      </w:r>
      <w:r>
        <w:rPr>
          <w:rFonts w:hint="eastAsia" w:cs="宋体"/>
          <w:color w:val="000000"/>
          <w:sz w:val="24"/>
          <w:szCs w:val="24"/>
          <w:highlight w:val="none"/>
        </w:rPr>
        <w:t xml:space="preserve">。</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5.4  乙方负责招标的材料，应严格按竞争性磋商文件要求招标,并提供产品合格证明,对材料质量负责。乙方招标的材料在使用前,应按照甲方的要求进行检验或试验,不合格的不得使用,检验或试验费用由乙方承担。</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5.5  由于甲方提供的材料、设备质量不合格而影响工程质量，其返工费用由甲方承担，工期顺延。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5.6  由于乙方原因造成质量事故，其损失及费用由乙方承担，工期不顺延。</w:t>
      </w:r>
      <w:r>
        <w:rPr>
          <w:rFonts w:hint="eastAsia" w:cs="宋体"/>
          <w:color w:val="000000"/>
          <w:sz w:val="24"/>
          <w:szCs w:val="24"/>
          <w:highlight w:val="none"/>
        </w:rPr>
      </w:r>
      <w:r/>
    </w:p>
    <w:p>
      <w:pPr>
        <w:pStyle w:val="968"/>
        <w:ind w:firstLine="480"/>
        <w:keepLines w:val="0"/>
        <w:keepNext w:val="0"/>
        <w:pageBreakBefore w:val="0"/>
        <w:spacing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5.7  工程竣工后，乙方应通知甲方验收，甲方自接到验收通知</w:t>
      </w:r>
      <w:r>
        <w:rPr>
          <w:rFonts w:hint="eastAsia" w:cs="宋体"/>
          <w:color w:val="000000"/>
          <w:sz w:val="24"/>
          <w:szCs w:val="24"/>
          <w:highlight w:val="none"/>
          <w:u w:val="single"/>
        </w:rPr>
        <w:t xml:space="preserve">  </w:t>
      </w:r>
      <w:r>
        <w:rPr>
          <w:rFonts w:hint="eastAsia" w:cs="宋体"/>
          <w:color w:val="000000"/>
          <w:sz w:val="24"/>
          <w:szCs w:val="24"/>
          <w:highlight w:val="none"/>
          <w:u w:val="single"/>
          <w:lang w:val="en-US" w:eastAsia="zh-CN"/>
        </w:rPr>
        <w:t xml:space="preserve">7</w:t>
      </w:r>
      <w:r>
        <w:rPr>
          <w:rFonts w:hint="eastAsia" w:cs="宋体"/>
          <w:color w:val="000000"/>
          <w:sz w:val="24"/>
          <w:szCs w:val="24"/>
          <w:highlight w:val="none"/>
          <w:u w:val="single"/>
        </w:rPr>
        <w:t xml:space="preserve">  </w:t>
      </w:r>
      <w:r>
        <w:rPr>
          <w:rFonts w:hint="eastAsia" w:cs="宋体"/>
          <w:color w:val="000000"/>
          <w:sz w:val="24"/>
          <w:szCs w:val="24"/>
          <w:highlight w:val="none"/>
        </w:rPr>
        <w:t xml:space="preserve">日内组织验收，并办理验收、移交手续。如甲方在规定时间内未能组织验收，需及时通知乙方，另定验收日期。但甲方应承认竣工日期，并承担乙方的看管费用和相关费用。</w:t>
      </w:r>
      <w:r>
        <w:rPr>
          <w:rFonts w:hint="eastAsia" w:cs="宋体"/>
          <w:color w:val="000000"/>
          <w:sz w:val="24"/>
          <w:szCs w:val="24"/>
          <w:highlight w:val="none"/>
        </w:rPr>
      </w:r>
      <w:r/>
    </w:p>
    <w:p>
      <w:pPr>
        <w:pStyle w:val="968"/>
        <w:keepLines w:val="0"/>
        <w:keepNext w:val="0"/>
        <w:pageBreakBefore w:val="0"/>
        <w:spacing w:line="288"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第6条  关于工程价款及结算的约定</w:t>
      </w:r>
      <w:r>
        <w:rPr>
          <w:rFonts w:hint="eastAsia" w:cs="宋体"/>
          <w:color w:val="000000"/>
          <w:sz w:val="24"/>
          <w:szCs w:val="24"/>
          <w:highlight w:val="none"/>
        </w:rPr>
        <w:tab/>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u w:val="single"/>
        </w:rPr>
      </w:pPr>
      <w:r>
        <w:rPr>
          <w:rFonts w:hint="eastAsia" w:cs="宋体"/>
          <w:color w:val="000000"/>
          <w:sz w:val="24"/>
          <w:szCs w:val="24"/>
          <w:highlight w:val="none"/>
        </w:rPr>
        <w:t xml:space="preserve">6.1  双方商定本合同价款采用：</w:t>
      </w:r>
      <w:r>
        <w:rPr>
          <w:rFonts w:hint="eastAsia" w:cs="宋体"/>
          <w:color w:val="000000"/>
          <w:sz w:val="24"/>
          <w:szCs w:val="24"/>
          <w:highlight w:val="none"/>
          <w:u w:val="single"/>
        </w:rPr>
        <w:t xml:space="preserve">固定综合单价合同。投标人在报价时应充分考虑人工、材料、机械等在施工期间的涨落风险，在施工过程中,合同约定不作调整。</w:t>
      </w:r>
      <w:r>
        <w:rPr>
          <w:rFonts w:hint="eastAsia" w:cs="宋体"/>
          <w:color w:val="000000"/>
          <w:sz w:val="24"/>
          <w:szCs w:val="24"/>
          <w:highlight w:val="none"/>
          <w:u w:val="singl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6.2因设计变更引起工程项目、工程量变化的，变更合同价款按下列方法进行：</w:t>
      </w:r>
      <w:r>
        <w:rPr>
          <w:rFonts w:hint="eastAsia" w:ascii="宋体" w:hAnsi="宋体" w:cs="宋体"/>
          <w:color w:val="000000"/>
          <w:sz w:val="24"/>
          <w:szCs w:val="24"/>
          <w:highlight w:val="none"/>
          <w:u w:val="single"/>
        </w:rPr>
        <w:t xml:space="preserve">（1）合同中已有适用于变更工程的价格，按合同已有的价格变更合同价款；（2）合同中只有类似于变更工程的价格，可以参照类似价格变更合同价款；若投标报价（不分单位工程）中存在若干适用的综合单价的执行最低的综合单价；（3）合同中没有适用或类似于变更工程的价格，结算原则为：由承包人按本工程最高限价编制条件（缺项材料采用最高限价编制时的信息价）编制报价后乘以下浮率（其中无信息价的由甲方批准定价，不再下浮），下浮率=1-（（投标总价-不可竞争费）/（最高限价-不可竞争费）），经监理人、发包人、审计单位审核后进行结算。</w:t>
      </w:r>
      <w:r>
        <w:rPr>
          <w:rFonts w:hint="eastAsia" w:ascii="宋体" w:hAnsi="宋体" w:cs="宋体"/>
          <w:color w:val="000000"/>
          <w:sz w:val="24"/>
          <w:szCs w:val="24"/>
          <w:highlight w:val="none"/>
          <w:u w:val="singl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6.3“总价措施项目清单”中措施费按投标时费率进行调整，其中文明施工费、按质论价费等按</w:t>
      </w:r>
      <w:r>
        <w:rPr>
          <w:rFonts w:hint="eastAsia" w:ascii="宋体" w:hAnsi="宋体" w:cs="宋体"/>
          <w:color w:val="000000"/>
          <w:sz w:val="24"/>
          <w:szCs w:val="24"/>
          <w:highlight w:val="none"/>
          <w:u w:val="single"/>
        </w:rPr>
        <w:t xml:space="preserve">[2018]第24号《省住房城乡建设厅关于调整建设工程按质论价等费用计取方法的公告》、[2020]第11号《省住房城乡建设厅关于实施安全文明施工措施费动态计价管理的公告》等</w:t>
      </w:r>
      <w:r>
        <w:rPr>
          <w:rFonts w:hint="eastAsia" w:ascii="宋体" w:hAnsi="宋体" w:cs="宋体"/>
          <w:color w:val="000000"/>
          <w:sz w:val="24"/>
          <w:szCs w:val="24"/>
          <w:highlight w:val="none"/>
        </w:rPr>
        <w:t xml:space="preserve">文件规定执行。</w:t>
      </w:r>
      <w:r>
        <w:rPr>
          <w:rFonts w:hint="eastAsia" w:ascii="宋体" w:hAnsi="宋体"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6.4</w:t>
      </w:r>
      <w:r>
        <w:rPr>
          <w:rFonts w:hint="eastAsia" w:ascii="宋体" w:hAnsi="宋体" w:cs="宋体"/>
          <w:color w:val="000000"/>
          <w:sz w:val="24"/>
          <w:szCs w:val="24"/>
          <w:highlight w:val="none"/>
          <w:u w:val="single"/>
        </w:rPr>
        <w:t xml:space="preserve">无工程变更时，“单价措施项目清单”按投标内容，不另新增项目。结算项目需根据实际发生情况，由承包人提出，经监理人、发包人、审计单位签证确认。具体调整方法按合同6.2调整方法及清单编制说明、项目特征等相关约定。</w:t>
      </w:r>
      <w:r>
        <w:rPr>
          <w:rFonts w:hint="eastAsia" w:ascii="宋体" w:hAnsi="宋体" w:cs="宋体"/>
          <w:color w:val="000000"/>
          <w:sz w:val="24"/>
          <w:szCs w:val="24"/>
          <w:highlight w:val="none"/>
          <w:u w:val="singl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6.5</w:t>
      </w:r>
      <w:r>
        <w:rPr>
          <w:rFonts w:hint="eastAsia" w:ascii="宋体" w:hAnsi="宋体" w:cs="宋体"/>
          <w:color w:val="000000"/>
          <w:sz w:val="24"/>
          <w:szCs w:val="24"/>
          <w:highlight w:val="none"/>
          <w:u w:val="single"/>
        </w:rPr>
        <w:t xml:space="preserve">因非承包人原因的工程变更，造成施工方案或施工工法变更，引起措施项目发生变化的按实际发生变化的措施项目由承包人提出经监理人、发包人签证，发包人、审计单位确认后调整。调整办法参照6.2调整方法 。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 本合同生效后，按以下约定支付工程款：</w:t>
      </w:r>
      <w:r>
        <w:rPr>
          <w:rFonts w:hint="eastAsia" w:ascii="宋体" w:hAnsi="宋体" w:eastAsia="宋体" w:cs="宋体"/>
          <w:color w:val="000000"/>
          <w:sz w:val="24"/>
          <w:szCs w:val="24"/>
          <w:highlight w:val="none"/>
        </w:rPr>
      </w:r>
      <w:r/>
    </w:p>
    <w:p>
      <w:pPr>
        <w:pStyle w:val="937"/>
        <w:keepLines w:val="0"/>
        <w:keepNext w:val="0"/>
        <w:pageBreakBefore w:val="0"/>
        <w:spacing w:line="360" w:lineRule="auto"/>
        <w:widowControl w:val="off"/>
        <w:rPr>
          <w:rFonts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single"/>
          <w:lang w:val="en-US" w:eastAsia="zh-CN"/>
        </w:rPr>
        <w:t xml:space="preserve">    6.6.1</w:t>
      </w:r>
      <w:r>
        <w:rPr>
          <w:rFonts w:hint="eastAsia" w:ascii="宋体" w:hAnsi="宋体" w:eastAsia="宋体" w:cs="宋体"/>
          <w:color w:val="000000"/>
          <w:sz w:val="24"/>
          <w:highlight w:val="none"/>
          <w:u w:val="single"/>
          <w:lang w:val="en-US" w:eastAsia="zh-CN"/>
        </w:rPr>
        <w:t xml:space="preserve">项目开工前，支付合同总价10%的预付款（供应商明确表示无需预付款或者主动要求降低预付款比例的，采购人可不适用前述规定），项目完工经验收合格60日内付至审定价的97%，</w:t>
      </w:r>
      <w:r>
        <w:rPr>
          <w:rFonts w:hint="eastAsia" w:ascii="宋体" w:hAnsi="宋体" w:eastAsia="宋体" w:cs="宋体"/>
          <w:b w:val="0"/>
          <w:bCs/>
          <w:color w:val="000000"/>
          <w:sz w:val="24"/>
          <w:szCs w:val="24"/>
          <w:highlight w:val="none"/>
          <w:u w:val="single"/>
        </w:rPr>
        <w:t xml:space="preserve">缺陷责任期</w:t>
      </w:r>
      <w:r>
        <w:rPr>
          <w:rFonts w:hint="eastAsia" w:ascii="宋体" w:hAnsi="宋体" w:eastAsia="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lang w:val="en-US" w:eastAsia="zh-CN"/>
        </w:rPr>
        <w:t xml:space="preserve">质保、养护期</w:t>
      </w:r>
      <w:r>
        <w:rPr>
          <w:rFonts w:hint="eastAsia" w:ascii="宋体" w:hAnsi="宋体" w:eastAsia="宋体" w:cs="宋体"/>
          <w:b w:val="0"/>
          <w:bCs/>
          <w:color w:val="000000"/>
          <w:sz w:val="24"/>
          <w:szCs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结束后付至审定价的100%（无息）。</w:t>
      </w:r>
      <w:r>
        <w:rPr>
          <w:rFonts w:ascii="宋体" w:hAnsi="宋体" w:eastAsia="宋体" w:cs="宋体"/>
          <w:color w:val="000000"/>
          <w:sz w:val="24"/>
          <w:szCs w:val="24"/>
          <w:highlight w:val="none"/>
          <w:u w:val="single"/>
          <w:lang w:val="en-US" w:eastAsia="zh-CN"/>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6.6.2承包人应实事求是地递交工程结算资料，如工程结算经审计审核后累计核减率大于6%时，6%以外的核减由承包人承担审计服务酬金。</w:t>
      </w:r>
      <w:r>
        <w:rPr>
          <w:rFonts w:hint="eastAsia" w:ascii="宋体" w:hAnsi="宋体" w:cs="宋体"/>
          <w:color w:val="000000"/>
          <w:sz w:val="24"/>
          <w:szCs w:val="24"/>
          <w:highlight w:val="none"/>
          <w:u w:val="singl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6.6.4工程施工过程中所有需要在合同清单外另行增加项目的均须事先征得发包人的书面同意（且前提条件承诺总价不超过中标价的10%），事先办理书面确认手续或执行发包人的书面指令。否则一概不予结算。</w:t>
      </w:r>
      <w:r>
        <w:rPr>
          <w:rFonts w:hint="eastAsia" w:ascii="宋体" w:hAnsi="宋体" w:cs="宋体"/>
          <w:color w:val="000000"/>
          <w:sz w:val="24"/>
          <w:szCs w:val="24"/>
          <w:highlight w:val="none"/>
          <w:u w:val="singl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第7条  关于材料供应的约定</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7.1  本工程甲方负责招标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cs="宋体"/>
          <w:color w:val="000000"/>
          <w:sz w:val="24"/>
          <w:szCs w:val="24"/>
          <w:highlight w:val="none"/>
          <w:u w:val="single"/>
        </w:rPr>
        <w:t xml:space="preserve">   </w:t>
      </w:r>
      <w:r>
        <w:rPr>
          <w:rFonts w:hint="eastAsia" w:cs="宋体"/>
          <w:color w:val="000000"/>
          <w:sz w:val="24"/>
          <w:szCs w:val="24"/>
          <w:highlight w:val="none"/>
        </w:rPr>
        <w:t xml:space="preserve">%的保管费。由于乙方保管不当造成损失，由乙方负责赔偿。</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7.2  凡由乙方招标的材料、设备，如不符合质量要求或规格差异，应禁止使用。若已使用，对工程造成的损失由乙方负责。</w:t>
      </w:r>
      <w:r>
        <w:rPr>
          <w:rFonts w:hint="eastAsia"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7.3施工所需的水、电、电讯线路承包人自行解决，已包含在投标报价中，不再另行结算。</w:t>
      </w:r>
      <w:r>
        <w:rPr>
          <w:rFonts w:hint="eastAsia" w:ascii="宋体" w:hAnsi="宋体" w:cs="宋体"/>
          <w:color w:val="000000"/>
          <w:sz w:val="24"/>
          <w:szCs w:val="24"/>
          <w:highlight w:val="non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第8条  有关安全生产和防火的约定</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8.1  甲方提供的施工图纸或作法说明，应符合《中华人民共和国消防条例》和有关防火设计规范。</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8.2  乙方在施工期间应严格遵守《建筑安装工程安全技术规程》、《建筑安装工人安全操作规程》、《中华人民共和国消防条例》和其他相关的法规、规范。</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8.3  由于甲方确认的图纸或作法说明，违反有关安全操作规程、消防条例和防火设计规范，导致发生安全或火灾事故，甲方应承担由此产生的一切经济损失。</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8.4  由于乙方在施工生产过程中违反有关安全操作规程、消防条例，导致发生安全或火灾事故，乙方应承担由此引发的一切经济损失。</w:t>
      </w:r>
      <w:r>
        <w:rPr>
          <w:rFonts w:hint="eastAsia" w:cs="宋体"/>
          <w:color w:val="000000"/>
          <w:sz w:val="24"/>
          <w:szCs w:val="24"/>
          <w:highlight w:val="non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第9条  奖励和违约责任</w:t>
      </w:r>
      <w:r>
        <w:rPr>
          <w:rFonts w:hint="eastAsia" w:cs="宋体"/>
          <w:color w:val="000000"/>
          <w:sz w:val="24"/>
          <w:szCs w:val="24"/>
          <w:highlight w:val="none"/>
        </w:rPr>
      </w:r>
      <w:r/>
    </w:p>
    <w:p>
      <w:pPr>
        <w:pStyle w:val="937"/>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  施工过程中甲方将对乙方招标使用的材料进行抽检，如检验结果材料不合格，严禁使用，检验或试验费用由乙方承担。未经甲方批准，乙方擅自使用品牌、规格、技术参数等与竞争性磋商文件规定不相符的材料，该材料所涉及的分项目将不予验收结算；并做返工处理。</w:t>
      </w:r>
      <w:r>
        <w:rPr>
          <w:rFonts w:hint="eastAsia" w:ascii="宋体" w:hAnsi="宋体"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9.2  由于甲方原因导致延期开工或中途停工，工期顺延。甲方不按合同的约定拨付款，每拖期一天，按付款额的</w:t>
      </w:r>
      <w:r>
        <w:rPr>
          <w:rFonts w:hint="eastAsia" w:cs="宋体"/>
          <w:color w:val="000000"/>
          <w:sz w:val="24"/>
          <w:szCs w:val="24"/>
          <w:highlight w:val="none"/>
          <w:u w:val="single"/>
        </w:rPr>
        <w:t xml:space="preserve"> 1 </w:t>
      </w:r>
      <w:r>
        <w:rPr>
          <w:rFonts w:hint="eastAsia" w:cs="宋体"/>
          <w:color w:val="000000"/>
          <w:sz w:val="24"/>
          <w:szCs w:val="24"/>
          <w:highlight w:val="none"/>
        </w:rPr>
        <w:t xml:space="preserve">%支付滞纳金。</w:t>
      </w:r>
      <w:r>
        <w:rPr>
          <w:rFonts w:hint="eastAsia"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9.3 工期延误处罚：承包人因自身原因未能在承诺工期内完成招标范围内的全部工程内容，则按延误合同工期的天数承担（分部分项工程费+单价措施项目费-工程设备费）的</w:t>
      </w:r>
      <w:r>
        <w:rPr>
          <w:rFonts w:hint="eastAsia" w:ascii="宋体" w:hAnsi="宋体" w:cs="宋体"/>
          <w:color w:val="000000"/>
          <w:sz w:val="24"/>
          <w:szCs w:val="24"/>
          <w:highlight w:val="none"/>
          <w:u w:val="single"/>
        </w:rPr>
        <w:t xml:space="preserve">0.2‰/天</w:t>
      </w:r>
      <w:r>
        <w:rPr>
          <w:rFonts w:hint="eastAsia" w:ascii="宋体" w:hAnsi="宋体" w:cs="宋体"/>
          <w:color w:val="000000"/>
          <w:sz w:val="24"/>
          <w:szCs w:val="24"/>
          <w:highlight w:val="none"/>
        </w:rPr>
        <w:t xml:space="preserve">的逾期竣工违约金，以合同金额的</w:t>
      </w:r>
      <w:r>
        <w:rPr>
          <w:rFonts w:hint="eastAsia" w:ascii="宋体" w:hAnsi="宋体" w:cs="宋体"/>
          <w:color w:val="000000"/>
          <w:sz w:val="24"/>
          <w:szCs w:val="24"/>
          <w:highlight w:val="none"/>
          <w:u w:val="single"/>
        </w:rPr>
        <w:t xml:space="preserve">5%</w:t>
      </w:r>
      <w:r>
        <w:rPr>
          <w:rFonts w:hint="eastAsia" w:ascii="宋体" w:hAnsi="宋体" w:cs="宋体"/>
          <w:color w:val="000000"/>
          <w:sz w:val="24"/>
          <w:szCs w:val="24"/>
          <w:highlight w:val="none"/>
        </w:rPr>
        <w:t xml:space="preserve">为限。</w:t>
      </w:r>
      <w:r>
        <w:rPr>
          <w:rFonts w:hint="eastAsia" w:ascii="宋体" w:hAnsi="宋体"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9.4  乙方按照甲方要求，全部或部分工程项目达到优良标准时，甲方支付乙方</w:t>
      </w:r>
      <w:r>
        <w:rPr>
          <w:rFonts w:hint="eastAsia" w:cs="宋体"/>
          <w:color w:val="000000"/>
          <w:sz w:val="24"/>
          <w:szCs w:val="24"/>
          <w:highlight w:val="none"/>
          <w:u w:val="single"/>
        </w:rPr>
        <w:t xml:space="preserve">   /  </w:t>
      </w:r>
      <w:r>
        <w:rPr>
          <w:rFonts w:hint="eastAsia" w:cs="宋体"/>
          <w:color w:val="000000"/>
          <w:sz w:val="24"/>
          <w:szCs w:val="24"/>
          <w:highlight w:val="none"/>
        </w:rPr>
        <w:t xml:space="preserve">元，作为奖励。</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9.5如果中标人因自身原因未能达到承诺质量目标，承包人除返工合格外，还需承担（分部分项工程费+单价措施项目费-工程设备费）的</w:t>
      </w:r>
      <w:r>
        <w:rPr>
          <w:rFonts w:hint="eastAsia" w:cs="宋体"/>
          <w:color w:val="000000"/>
          <w:sz w:val="24"/>
          <w:szCs w:val="24"/>
          <w:highlight w:val="none"/>
          <w:u w:val="single"/>
        </w:rPr>
        <w:t xml:space="preserve">2%</w:t>
      </w:r>
      <w:r>
        <w:rPr>
          <w:rFonts w:hint="eastAsia" w:cs="宋体"/>
          <w:color w:val="000000"/>
          <w:sz w:val="24"/>
          <w:szCs w:val="24"/>
          <w:highlight w:val="none"/>
        </w:rPr>
        <w:t xml:space="preserve">违约金，由于承包人原因引起的验收不合格而引起的工期延误及其他返工等相应经济损失由承包人承担。</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9.6  甲方未办理任何手续，擅自同意拆改原有建筑物结构或设备管线，由此发生的损失或事故（包括罚款），由甲方负责并承担损失。</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9.7  未经甲方同意，乙方擅自拆改原建筑物结构或设备管线，由此发生的损失或事故（包括罚款），由乙方负责并承担损失。</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9.8  未办理验收手续，甲方提前使用或擅自动用，造成损失由甲方负责。</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9.9  因一方原因，合同无法继续履行时，应通知对方，办理合同终止协议，并由责任方赔偿对方由此造成的经济损失。</w:t>
      </w:r>
      <w:r>
        <w:rPr>
          <w:rFonts w:hint="eastAsia" w:cs="宋体"/>
          <w:color w:val="000000"/>
          <w:sz w:val="24"/>
          <w:szCs w:val="24"/>
          <w:highlight w:val="non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第10条  争议的解决方式</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因履行本合同发生争议协商解决不成的提交</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u w:val="single"/>
        </w:rPr>
        <w:t xml:space="preserve">常州市</w:t>
      </w:r>
      <w:r>
        <w:rPr>
          <w:rFonts w:hint="eastAsia" w:cs="宋体"/>
          <w:color w:val="000000"/>
          <w:sz w:val="24"/>
          <w:szCs w:val="24"/>
          <w:highlight w:val="none"/>
          <w:u w:val="single"/>
          <w:lang w:val="en-US" w:eastAsia="zh-CN"/>
        </w:rPr>
        <w:t xml:space="preserve"> </w:t>
      </w:r>
      <w:r>
        <w:rPr>
          <w:rFonts w:hint="eastAsia" w:cs="宋体"/>
          <w:color w:val="000000"/>
          <w:sz w:val="24"/>
          <w:szCs w:val="24"/>
          <w:highlight w:val="none"/>
        </w:rPr>
        <w:t xml:space="preserve">仲裁委员会仲裁。因本合同产生的以及与本合同有关的一切纠纷，均由常州市仲裁委员会仲裁。该裁决是终局的，对双方均具有约束力。</w:t>
      </w:r>
      <w:r>
        <w:rPr>
          <w:rFonts w:hint="eastAsia" w:cs="宋体"/>
          <w:color w:val="000000"/>
          <w:sz w:val="24"/>
          <w:szCs w:val="24"/>
          <w:highlight w:val="none"/>
        </w:rPr>
      </w:r>
      <w:r/>
    </w:p>
    <w:p>
      <w:pPr>
        <w:pStyle w:val="937"/>
        <w:jc w:val="left"/>
        <w:keepLines w:val="0"/>
        <w:keepNext w:val="0"/>
        <w:pageBreakBefore w:val="0"/>
        <w:spacing w:line="360" w:lineRule="auto"/>
        <w:widowControl w:val="off"/>
        <w:tabs>
          <w:tab w:val="left" w:pos="993"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第11条  其它约定:</w:t>
      </w:r>
      <w:r>
        <w:rPr>
          <w:rFonts w:hint="eastAsia" w:ascii="宋体" w:hAnsi="宋体" w:cs="宋体"/>
          <w:color w:val="000000"/>
          <w:sz w:val="24"/>
          <w:szCs w:val="24"/>
          <w:highlight w:val="none"/>
          <w:u w:val="single"/>
        </w:rPr>
        <w:t xml:space="preserve">①工程施工过程中所有需要在合同价外另行增加费用的内容均须事先征得发包人的书面同意，事先办理书面确认手续或执行发包人的书面指令。否则一概不予结算。②工程施工管理、竣工验收工作由甲方负责组织实施。③乙方必须注意确保安全生产、文明施工；如发生违法乱纪及人身伤亡等事故，一切责任均由乙方负责。④补充图纸和指示：甲方有权向承包人发出任何图纸</w:t>
      </w:r>
      <w:r>
        <w:rPr>
          <w:rFonts w:hint="eastAsia" w:ascii="宋体" w:hAnsi="宋体" w:cs="宋体"/>
          <w:color w:val="000000"/>
          <w:sz w:val="24"/>
          <w:szCs w:val="24"/>
          <w:highlight w:val="none"/>
          <w:u w:val="single"/>
        </w:rPr>
        <w:t xml:space="preserve">变更或指令，承包人应无条件遵照执行。⑤承包人应实事求是地递交工程结算资料，如工程结算经审计审核后累计核减率大于6%时，6%以外的核减由承包人承担审计服务酬金。⑥中标单位在施工全过程中，必须有针对性措施做好成品保护、垃圾清运。该类费用已包括在相关工程量清单费用内，结算时不另计费用。⑦工程施工不得影响项目所在地的正常秩序，包括施工作业带来的噪音、烟雾、振动、扬尘等，该类费用已包括在相关工程量清单费用内，结算时不另计费用。⑧方案预先申报，同时有应急预案。⑨承包人必须安全、文明施工，承包人承担安全事故的一切责任。⑩</w:t>
      </w:r>
      <w:r>
        <w:rPr>
          <w:rFonts w:hint="eastAsia" w:ascii="宋体" w:hAnsi="宋体" w:cs="宋体"/>
          <w:color w:val="000000"/>
          <w:sz w:val="24"/>
          <w:szCs w:val="24"/>
          <w:highlight w:val="none"/>
          <w:u w:val="single"/>
        </w:rPr>
        <w:t xml:space="preserve">施工过程中必须满足“政府令〔2021〕14号常州市扬尘污染防治管理办法”相关规定，相关费用在投标报价中考虑。（11）如因施工过程中对本工程范围外设施造成损坏，必须原样恢复并承担相应的恢复费用。投标人必须将相应费用包含在投标报价中，结算时不另计算也不作任何调整。（12）施工单位充分考虑本项目的实施地点，施工过程中的作业时间，对周边居民作息影响，土方材料外运难度，地下管网复杂等问题，规避车辆通行高峰秩序高峰。该部分所涉及发生的费用在投标报价中综合考虑，结算时不另行计算。（13）其他未尽事宜详见招标、磋商响应文件</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14</w:t>
      </w:r>
      <w:r>
        <w:rPr>
          <w:rFonts w:hint="eastAsia" w:ascii="宋体" w:hAnsi="宋体" w:cs="宋体"/>
          <w:color w:val="000000"/>
          <w:sz w:val="24"/>
          <w:szCs w:val="24"/>
          <w:highlight w:val="none"/>
          <w:u w:val="single"/>
          <w:lang w:eastAsia="zh-CN"/>
        </w:rPr>
        <w:t xml:space="preserve">）若因发包人上级主管部门政策性变化等特殊原因，造成本工程停建或缓建时，发包人只对已发生的合格工程量负责，根据已发生的合格工程量与承包人办理结算，不承担其它违约责任</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第12条  附则</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12.1  本合同</w:t>
      </w:r>
      <w:r>
        <w:rPr>
          <w:rFonts w:hint="eastAsia" w:ascii="宋体" w:hAnsi="宋体" w:eastAsia="宋体" w:cs="宋体"/>
          <w:b w:val="0"/>
          <w:bCs/>
          <w:color w:val="000000"/>
          <w:sz w:val="24"/>
          <w:szCs w:val="24"/>
          <w:highlight w:val="none"/>
          <w:u w:val="single"/>
        </w:rPr>
        <w:t xml:space="preserve">缺陷责任期</w:t>
      </w:r>
      <w:r>
        <w:rPr>
          <w:rFonts w:hint="eastAsia" w:ascii="宋体" w:hAnsi="宋体" w:eastAsia="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lang w:val="en-US" w:eastAsia="zh-CN"/>
        </w:rPr>
        <w:t xml:space="preserve">质保、养护期</w:t>
      </w:r>
      <w:r>
        <w:rPr>
          <w:rFonts w:hint="eastAsia" w:ascii="宋体" w:hAnsi="宋体" w:eastAsia="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lang w:val="en-US" w:eastAsia="zh-CN"/>
        </w:rPr>
        <w:t xml:space="preserve">2年</w:t>
      </w:r>
      <w:r>
        <w:rPr>
          <w:rFonts w:hint="eastAsia" w:cs="宋体"/>
          <w:color w:val="000000"/>
          <w:sz w:val="24"/>
          <w:szCs w:val="24"/>
          <w:highlight w:val="none"/>
        </w:rPr>
        <w:t xml:space="preserve">。保修方法参照国家及地方相关规定执行。</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12.2  本合同一式伍份，甲乙双方各执贰份，代理壹份。</w:t>
      </w:r>
      <w:r>
        <w:rPr>
          <w:rFonts w:hint="eastAsia" w:cs="宋体"/>
          <w:color w:val="000000"/>
          <w:sz w:val="24"/>
          <w:szCs w:val="24"/>
          <w:highlight w:val="none"/>
        </w:rPr>
      </w:r>
      <w:r/>
    </w:p>
    <w:p>
      <w:pPr>
        <w:pStyle w:val="968"/>
        <w:ind w:firstLine="480"/>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12.3  本合同履行完成后自动终止。</w:t>
      </w:r>
      <w:r>
        <w:rPr>
          <w:rFonts w:hint="eastAsia" w:cs="宋体"/>
          <w:color w:val="000000"/>
          <w:sz w:val="24"/>
          <w:szCs w:val="24"/>
          <w:highlight w:val="non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第13条 诚实信用 </w:t>
      </w:r>
      <w:r>
        <w:rPr>
          <w:rFonts w:hint="eastAsia" w:cs="宋体"/>
          <w:color w:val="000000"/>
          <w:sz w:val="24"/>
          <w:szCs w:val="24"/>
          <w:highlight w:val="none"/>
        </w:rPr>
      </w:r>
      <w:r/>
    </w:p>
    <w:p>
      <w:pPr>
        <w:pStyle w:val="937"/>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乙方应诚实信用，严格按照竞争性磋商文件要求和投标承诺履行合同，不向甲方进行商业贿赂或者提供不正当利益。</w:t>
      </w:r>
      <w:r>
        <w:rPr>
          <w:rFonts w:hint="eastAsia" w:ascii="宋体" w:hAnsi="宋体" w:cs="宋体"/>
          <w:color w:val="000000"/>
          <w:sz w:val="24"/>
          <w:szCs w:val="24"/>
          <w:highlight w:val="none"/>
        </w:rPr>
      </w:r>
      <w:r/>
    </w:p>
    <w:p>
      <w:pPr>
        <w:pStyle w:val="968"/>
        <w:keepLines w:val="0"/>
        <w:keepNext w:val="0"/>
        <w:pageBreakBefore w:val="0"/>
        <w:spacing w:before="0" w:line="360" w:lineRule="auto"/>
        <w:widowControl w:val="off"/>
        <w:tabs>
          <w:tab w:val="left" w:pos="567" w:leader="none"/>
        </w:tabs>
        <w:rPr>
          <w:rFonts w:hint="eastAsia" w:cs="宋体"/>
          <w:color w:val="000000"/>
          <w:sz w:val="24"/>
          <w:szCs w:val="24"/>
          <w:highlight w:val="none"/>
        </w:rPr>
      </w:pPr>
      <w:r>
        <w:rPr>
          <w:rFonts w:hint="eastAsia" w:cs="宋体"/>
          <w:color w:val="000000"/>
          <w:sz w:val="24"/>
          <w:szCs w:val="24"/>
          <w:highlight w:val="none"/>
        </w:rPr>
        <w:t xml:space="preserve">第14 合同生效及其他</w:t>
      </w:r>
      <w:r>
        <w:rPr>
          <w:rFonts w:hint="eastAsia" w:cs="宋体"/>
          <w:color w:val="000000"/>
          <w:sz w:val="24"/>
          <w:szCs w:val="24"/>
          <w:highlight w:val="none"/>
        </w:rPr>
      </w:r>
      <w:r/>
    </w:p>
    <w:p>
      <w:pPr>
        <w:pStyle w:val="937"/>
        <w:ind w:firstLine="36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本合同自经甲乙双方授权代表签订并加盖公章后，自签订之日起生效。</w:t>
      </w:r>
      <w:r>
        <w:rPr>
          <w:rFonts w:hint="eastAsia" w:ascii="宋体" w:hAnsi="宋体" w:cs="宋体"/>
          <w:color w:val="000000"/>
          <w:sz w:val="24"/>
          <w:szCs w:val="24"/>
          <w:highlight w:val="none"/>
        </w:rPr>
      </w:r>
      <w:r/>
    </w:p>
    <w:p>
      <w:pPr>
        <w:pStyle w:val="937"/>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37"/>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37"/>
        <w:jc w:val="left"/>
        <w:keepLines w:val="0"/>
        <w:keepNext w:val="0"/>
        <w:pageBreakBefore w:val="0"/>
        <w:spacing w:line="360"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37"/>
        <w:jc w:val="left"/>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    方：                               乙    方：</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单位名称（章）：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单位名称（章）：</w:t>
      </w:r>
      <w:r>
        <w:rPr>
          <w:rFonts w:ascii="宋体" w:hAnsi="宋体" w:cs="宋体"/>
          <w:color w:val="000000"/>
          <w:sz w:val="24"/>
          <w:szCs w:val="24"/>
          <w:highlight w:val="none"/>
          <w:u w:val="single"/>
        </w:rPr>
      </w:r>
      <w:r/>
    </w:p>
    <w:p>
      <w:pPr>
        <w:pStyle w:val="937"/>
        <w:keepLines w:val="0"/>
        <w:keepNext w:val="0"/>
        <w:pageBreakBefore w:val="0"/>
        <w:spacing w:line="288"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单位地址：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hint="eastAsia" w:ascii="宋体" w:hAnsi="宋体" w:cs="宋体"/>
          <w:color w:val="000000"/>
          <w:sz w:val="24"/>
          <w:szCs w:val="24"/>
          <w:highlight w:val="none"/>
        </w:rPr>
        <w:t xml:space="preserve">单位地址：</w:t>
      </w:r>
      <w:r>
        <w:rPr>
          <w:rFonts w:ascii="宋体" w:hAnsi="宋体" w:cs="宋体"/>
          <w:color w:val="000000"/>
          <w:sz w:val="24"/>
          <w:szCs w:val="24"/>
          <w:highlight w:val="none"/>
          <w:u w:val="singl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                              法定代表人： </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委托代理人：                              委托代理人：                            </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                                    电话：           </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开户银行：                                开户银行：         </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帐号：                                    帐号： </w:t>
      </w:r>
      <w:r>
        <w:rPr>
          <w:rFonts w:ascii="宋体" w:hAnsi="宋体" w:cs="宋体"/>
          <w:color w:val="000000"/>
          <w:sz w:val="24"/>
          <w:szCs w:val="24"/>
          <w:highlight w:val="none"/>
        </w:rPr>
      </w:r>
      <w:r/>
    </w:p>
    <w:p>
      <w:pPr>
        <w:pStyle w:val="937"/>
        <w:keepLines w:val="0"/>
        <w:keepNext w:val="0"/>
        <w:pageBreakBefore w:val="0"/>
        <w:spacing w:line="288" w:lineRule="auto"/>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937"/>
        <w:keepLines w:val="0"/>
        <w:keepNext w:val="0"/>
        <w:pageBreakBefore w:val="0"/>
        <w:spacing w:line="288"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37"/>
        <w:keepLines w:val="0"/>
        <w:keepNext w:val="0"/>
        <w:pageBreakBefore w:val="0"/>
        <w:spacing w:line="288"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代理（章）：</w:t>
      </w:r>
      <w:r>
        <w:rPr>
          <w:rFonts w:hint="eastAsia" w:ascii="宋体" w:hAnsi="宋体" w:cs="宋体"/>
          <w:color w:val="000000"/>
          <w:sz w:val="24"/>
          <w:szCs w:val="24"/>
          <w:highlight w:val="none"/>
        </w:rPr>
      </w:r>
      <w:r/>
    </w:p>
    <w:p>
      <w:pPr>
        <w:pStyle w:val="968"/>
        <w:spacing w:after="0" w:line="360" w:lineRule="auto"/>
        <w:tabs>
          <w:tab w:val="left" w:pos="567" w:leader="none"/>
        </w:tabs>
        <w:rPr>
          <w:rFonts w:ascii="宋体" w:hAnsi="宋体"/>
          <w:szCs w:val="21"/>
        </w:rPr>
      </w:pPr>
      <w:r/>
      <w:bookmarkEnd w:id="651"/>
      <w:r>
        <w:rPr>
          <w:rFonts w:ascii="宋体" w:hAnsi="宋体"/>
          <w:szCs w:val="21"/>
        </w:rPr>
      </w:r>
      <w:r/>
    </w:p>
    <w:p>
      <w:pPr>
        <w:pStyle w:val="968"/>
        <w:ind w:firstLine="964"/>
        <w:spacing w:line="280" w:lineRule="exact"/>
        <w:tabs>
          <w:tab w:val="left" w:pos="567" w:leader="none"/>
        </w:tabs>
        <w:rPr>
          <w:rFonts w:hint="eastAsia" w:ascii="宋体" w:hAnsi="宋体" w:eastAsia="宋体" w:cs="宋体"/>
          <w:b/>
          <w:sz w:val="24"/>
          <w:szCs w:val="24"/>
        </w:rPr>
      </w:pPr>
      <w:r>
        <w:rPr>
          <w:rFonts w:hint="eastAsia" w:ascii="宋体" w:hAnsi="宋体" w:eastAsia="宋体" w:cs="宋体"/>
          <w:b/>
          <w:sz w:val="24"/>
          <w:szCs w:val="24"/>
        </w:rPr>
      </w:r>
      <w:r/>
    </w:p>
    <w:p>
      <w:pPr>
        <w:pStyle w:val="1017"/>
        <w:tabs>
          <w:tab w:val="left" w:pos="198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以上合同格式供参考，甲乙双方可以根据不同的采购内容进行调整，但不能违背招标内容和要求。</w:t>
      </w:r>
      <w:r>
        <w:rPr>
          <w:rFonts w:hint="eastAsia" w:ascii="宋体" w:hAnsi="宋体" w:eastAsia="宋体" w:cs="宋体"/>
          <w:color w:val="000000"/>
          <w:sz w:val="24"/>
          <w:szCs w:val="24"/>
          <w:highlight w:val="none"/>
        </w:rPr>
      </w:r>
      <w:r/>
    </w:p>
    <w:p>
      <w:pPr>
        <w:pStyle w:val="937"/>
        <w:spacing w:line="360" w:lineRule="auto"/>
        <w:rPr>
          <w:b/>
          <w:color w:val="000000"/>
          <w:sz w:val="36"/>
          <w:szCs w:val="36"/>
          <w:highlight w:val="none"/>
        </w:rPr>
        <w:outlineLvl w:val="0"/>
      </w:pPr>
      <w:r>
        <w:rPr>
          <w:b/>
          <w:color w:val="000000"/>
          <w:sz w:val="36"/>
          <w:szCs w:val="36"/>
          <w:highlight w:val="none"/>
        </w:rPr>
      </w:r>
      <w:r/>
    </w:p>
    <w:p>
      <w:pPr>
        <w:pStyle w:val="937"/>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bookmarkStart w:id="652" w:name="_Toc30458"/>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48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pStyle w:val="937"/>
        <w:jc w:val="center"/>
        <w:spacing w:line="480" w:lineRule="auto"/>
        <w:rPr>
          <w:rFonts w:hint="eastAsia" w:ascii="仿宋" w:hAnsi="仿宋" w:eastAsia="仿宋" w:cs="仿宋"/>
          <w:b/>
          <w:sz w:val="36"/>
          <w:szCs w:val="36"/>
          <w:lang w:eastAsia="zh-CN"/>
        </w:rPr>
      </w:pPr>
      <w:r>
        <w:rPr>
          <w:rFonts w:hint="eastAsia" w:ascii="仿宋" w:hAnsi="仿宋" w:eastAsia="仿宋" w:cs="仿宋"/>
          <w:b/>
          <w:sz w:val="36"/>
          <w:szCs w:val="36"/>
          <w:lang w:eastAsia="zh-CN"/>
        </w:rPr>
      </w:r>
      <w:r/>
    </w:p>
    <w:p>
      <w:pPr>
        <w:pStyle w:val="937"/>
        <w:jc w:val="center"/>
        <w:spacing w:line="480" w:lineRule="auto"/>
        <w:rPr>
          <w:rFonts w:hint="eastAsia" w:ascii="仿宋" w:hAnsi="仿宋" w:eastAsia="仿宋" w:cs="仿宋"/>
          <w:sz w:val="36"/>
          <w:szCs w:val="36"/>
        </w:rPr>
      </w:pPr>
      <w:r>
        <w:rPr>
          <w:rFonts w:hint="eastAsia" w:ascii="仿宋" w:hAnsi="仿宋" w:eastAsia="仿宋" w:cs="仿宋"/>
          <w:b/>
          <w:sz w:val="36"/>
          <w:szCs w:val="36"/>
          <w:lang w:eastAsia="zh-CN"/>
        </w:rPr>
        <w:t xml:space="preserve">廉</w:t>
      </w:r>
      <w:r>
        <w:rPr>
          <w:rFonts w:hint="eastAsia" w:ascii="仿宋" w:hAnsi="仿宋" w:eastAsia="仿宋" w:cs="仿宋"/>
          <w:b/>
          <w:sz w:val="36"/>
          <w:szCs w:val="36"/>
        </w:rPr>
        <w:t xml:space="preserve">政责任书</w:t>
      </w:r>
      <w:r>
        <w:rPr>
          <w:rFonts w:hint="eastAsia" w:ascii="仿宋" w:hAnsi="仿宋" w:eastAsia="仿宋" w:cs="仿宋"/>
          <w:sz w:val="36"/>
          <w:szCs w:val="36"/>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为进一步加强零星工程的廉政建设，特订立如下责任书。</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一、甲、乙双方的权利和义务</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1.甲乙双方应严格遵守党的政策规定和国家有关法律法规。</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2.甲乙双方应严格执行项目的合同文件，自觉按合同办事。</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3.甲乙双方的业务活动应坚持公开、公平、公正、诚信、透明的原则。</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4.甲乙双方不得以任何理由向对方工作人员行贿或馈赠礼金、有价证券、贵重礼品。不得在对方报销任何应由个人支付的费用。</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5.甲乙双方不得以任何理由违反廉洁自律的有关规定。</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6.甲乙双方发现对方严重违反本协议条款的行为，有及时提醒对方、向其上级有关部门举报、建议给予处理并要求告知处理结果的权利。</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二、违约责任</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2.本协议一式</w:t>
      </w:r>
      <w:r>
        <w:rPr>
          <w:rFonts w:hint="eastAsia" w:ascii="Times New Roman" w:hAnsi="Times New Roman" w:eastAsia="宋体" w:cs="Times New Roman"/>
          <w:color w:val="000000"/>
          <w:sz w:val="24"/>
          <w:highlight w:val="none"/>
          <w:lang w:val="en-US" w:eastAsia="zh-CN"/>
        </w:rPr>
        <w:t xml:space="preserve">玖</w:t>
      </w:r>
      <w:r>
        <w:rPr>
          <w:rFonts w:hint="eastAsia" w:ascii="Times New Roman" w:hAnsi="Times New Roman" w:eastAsia="宋体" w:cs="Times New Roman"/>
          <w:color w:val="000000"/>
          <w:sz w:val="24"/>
          <w:highlight w:val="none"/>
        </w:rPr>
        <w:t xml:space="preserve">份，</w:t>
      </w:r>
      <w:r>
        <w:rPr>
          <w:rFonts w:hint="eastAsia" w:ascii="Times New Roman" w:hAnsi="Times New Roman" w:eastAsia="宋体" w:cs="Times New Roman"/>
          <w:color w:val="000000"/>
          <w:sz w:val="24"/>
          <w:highlight w:val="none"/>
          <w:lang w:eastAsia="zh-CN"/>
        </w:rPr>
        <w:t xml:space="preserve">附在主合同后。</w:t>
      </w:r>
      <w:r>
        <w:rPr>
          <w:rFonts w:hint="eastAsia" w:ascii="Times New Roman" w:hAnsi="Times New Roman" w:eastAsia="宋体" w:cs="Times New Roman"/>
          <w:color w:val="000000"/>
          <w:sz w:val="24"/>
          <w:highlight w:val="none"/>
          <w:lang w:eastAsia="zh-CN"/>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lang w:eastAsia="zh-CN"/>
        </w:rPr>
      </w:r>
      <w:r/>
    </w:p>
    <w:p>
      <w:pPr>
        <w:pStyle w:val="937"/>
        <w:ind w:left="142"/>
        <w:spacing w:line="360" w:lineRule="auto"/>
        <w:tabs>
          <w:tab w:val="left" w:pos="900" w:leader="none"/>
          <w:tab w:val="left" w:pos="1980"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甲方单位（盖章）：</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 xml:space="preserve">乙方单位（盖章）：</w:t>
      </w:r>
      <w:r>
        <w:rPr>
          <w:rFonts w:ascii="Times New Roman" w:hAnsi="Times New Roman" w:eastAsia="宋体" w:cs="Times New Roman"/>
          <w:color w:val="000000"/>
          <w:sz w:val="24"/>
          <w:highlight w:val="none"/>
          <w:lang w:val="en-US" w:eastAsia="zh-CN"/>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委托代理人：                       法定代表人：</w:t>
      </w:r>
      <w:r>
        <w:rPr>
          <w:rFonts w:hint="eastAsia" w:ascii="Times New Roman" w:hAnsi="Times New Roman" w:eastAsia="宋体" w:cs="Times New Roman"/>
          <w:color w:val="000000"/>
          <w:sz w:val="24"/>
          <w:highlight w:val="none"/>
        </w:rPr>
      </w:r>
      <w:r/>
    </w:p>
    <w:p>
      <w:pPr>
        <w:pStyle w:val="937"/>
        <w:ind w:left="142"/>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    年  月  日                        年  月  日</w:t>
      </w:r>
      <w:r>
        <w:rPr>
          <w:rFonts w:ascii="Times New Roman" w:hAnsi="Times New Roman" w:eastAsia="宋体" w:cs="Times New Roman"/>
          <w:color w:val="000000"/>
          <w:sz w:val="24"/>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r>
      <w:r/>
    </w:p>
    <w:p>
      <w:pPr>
        <w:pStyle w:val="937"/>
        <w:jc w:val="center"/>
        <w:spacing w:line="360" w:lineRule="auto"/>
        <w:rPr>
          <w:b/>
          <w:color w:val="000000"/>
          <w:sz w:val="36"/>
          <w:szCs w:val="36"/>
          <w:highlight w:val="none"/>
        </w:rPr>
        <w:outlineLvl w:val="0"/>
      </w:pPr>
      <w:r>
        <w:rPr>
          <w:b/>
          <w:color w:val="000000"/>
          <w:sz w:val="36"/>
          <w:szCs w:val="36"/>
          <w:highlight w:val="none"/>
        </w:rPr>
        <w:t xml:space="preserve">第六章   响应文件格式</w:t>
      </w:r>
      <w:bookmarkEnd w:id="652"/>
      <w:r>
        <w:rPr>
          <w:b/>
          <w:color w:val="000000"/>
          <w:sz w:val="36"/>
          <w:szCs w:val="36"/>
          <w:highlight w:val="none"/>
        </w:rPr>
      </w:r>
      <w:r/>
    </w:p>
    <w:p>
      <w:pPr>
        <w:pStyle w:val="937"/>
        <w:jc w:val="left"/>
        <w:spacing w:line="360" w:lineRule="auto"/>
        <w:widowControl/>
        <w:rPr>
          <w:b/>
          <w:color w:val="000000"/>
          <w:sz w:val="24"/>
          <w:highlight w:val="none"/>
        </w:rPr>
      </w:pPr>
      <w:r>
        <w:rPr>
          <w:b/>
          <w:color w:val="000000"/>
          <w:sz w:val="24"/>
          <w:highlight w:val="none"/>
        </w:rPr>
      </w:r>
      <w:r/>
    </w:p>
    <w:p>
      <w:pPr>
        <w:pStyle w:val="937"/>
        <w:jc w:val="left"/>
        <w:spacing w:line="360" w:lineRule="auto"/>
        <w:widowControl/>
        <w:rPr>
          <w:b/>
          <w:color w:val="000000"/>
          <w:sz w:val="24"/>
          <w:highlight w:val="none"/>
        </w:rPr>
      </w:pPr>
      <w:r>
        <w:rPr>
          <w:b/>
          <w:color w:val="000000"/>
          <w:sz w:val="24"/>
          <w:highlight w:val="none"/>
        </w:rPr>
      </w:r>
      <w:r/>
    </w:p>
    <w:p>
      <w:pPr>
        <w:pStyle w:val="937"/>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7"/>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7"/>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7"/>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7"/>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937"/>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7"/>
        <w:jc w:val="left"/>
        <w:widowControl/>
        <w:rPr>
          <w:color w:val="000000"/>
          <w:sz w:val="24"/>
          <w:highlight w:val="none"/>
        </w:rPr>
      </w:pPr>
      <w:r>
        <w:rPr>
          <w:color w:val="000000"/>
          <w:sz w:val="24"/>
          <w:highlight w:val="none"/>
        </w:rPr>
        <w:br w:type="page" w:clear="all"/>
      </w:r>
      <w:r>
        <w:rPr>
          <w:color w:val="000000"/>
          <w:sz w:val="24"/>
          <w:highlight w:val="none"/>
        </w:rPr>
      </w:r>
      <w:r/>
    </w:p>
    <w:p>
      <w:pPr>
        <w:pStyle w:val="937"/>
        <w:rPr>
          <w:b/>
          <w:color w:val="000000"/>
          <w:spacing w:val="20"/>
          <w:szCs w:val="21"/>
          <w:highlight w:val="none"/>
        </w:rPr>
      </w:pPr>
      <w:r/>
      <w:bookmarkEnd w:id="601"/>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b/>
          <w:color w:val="000000"/>
          <w:spacing w:val="20"/>
          <w:szCs w:val="21"/>
          <w:highlight w:val="none"/>
        </w:rPr>
      </w:r>
      <w:r/>
    </w:p>
    <w:p>
      <w:pPr>
        <w:pStyle w:val="937"/>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937"/>
        <w:jc w:val="center"/>
        <w:rPr>
          <w:color w:val="000000"/>
          <w:szCs w:val="21"/>
          <w:highlight w:val="none"/>
        </w:rPr>
      </w:pPr>
      <w:r>
        <w:rPr>
          <w:color w:val="000000"/>
          <w:szCs w:val="21"/>
          <w:highlight w:val="none"/>
        </w:rPr>
      </w:r>
      <w:r/>
    </w:p>
    <w:p>
      <w:pPr>
        <w:pStyle w:val="937"/>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7"/>
        <w:jc w:val="center"/>
        <w:rPr>
          <w:b/>
          <w:color w:val="000000"/>
          <w:spacing w:val="60"/>
          <w:sz w:val="52"/>
          <w:szCs w:val="52"/>
          <w:highlight w:val="none"/>
        </w:rPr>
      </w:pPr>
      <w:r>
        <w:rPr>
          <w:b/>
          <w:color w:val="000000"/>
          <w:spacing w:val="60"/>
          <w:sz w:val="52"/>
          <w:szCs w:val="52"/>
          <w:highlight w:val="none"/>
        </w:rPr>
      </w:r>
      <w:r/>
    </w:p>
    <w:p>
      <w:pPr>
        <w:pStyle w:val="937"/>
        <w:ind w:firstLine="542"/>
        <w:rPr>
          <w:b/>
          <w:color w:val="000000"/>
          <w:spacing w:val="20"/>
          <w:sz w:val="32"/>
          <w:szCs w:val="32"/>
          <w:highlight w:val="none"/>
        </w:rPr>
      </w:pPr>
      <w:r>
        <w:rPr>
          <w:b/>
          <w:color w:val="000000"/>
          <w:spacing w:val="20"/>
          <w:sz w:val="32"/>
          <w:szCs w:val="32"/>
          <w:highlight w:val="none"/>
        </w:rPr>
      </w:r>
      <w:r/>
    </w:p>
    <w:p>
      <w:pPr>
        <w:pStyle w:val="937"/>
        <w:ind w:firstLine="542"/>
        <w:rPr>
          <w:b/>
          <w:color w:val="000000"/>
          <w:spacing w:val="20"/>
          <w:sz w:val="32"/>
          <w:szCs w:val="32"/>
          <w:highlight w:val="none"/>
        </w:rPr>
      </w:pPr>
      <w:r>
        <w:rPr>
          <w:b/>
          <w:color w:val="000000"/>
          <w:spacing w:val="20"/>
          <w:sz w:val="32"/>
          <w:szCs w:val="32"/>
          <w:highlight w:val="none"/>
        </w:rPr>
      </w:r>
      <w:r/>
    </w:p>
    <w:p>
      <w:pPr>
        <w:pStyle w:val="93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7"/>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7"/>
        <w:jc w:val="center"/>
        <w:rPr>
          <w:b/>
          <w:color w:val="000000"/>
          <w:sz w:val="32"/>
          <w:szCs w:val="32"/>
          <w:highlight w:val="none"/>
        </w:rPr>
      </w:pPr>
      <w:r>
        <w:rPr>
          <w:b/>
          <w:color w:val="000000"/>
          <w:sz w:val="32"/>
          <w:szCs w:val="32"/>
          <w:highlight w:val="none"/>
        </w:rPr>
      </w:r>
      <w:r/>
    </w:p>
    <w:p>
      <w:pPr>
        <w:pStyle w:val="937"/>
        <w:rPr>
          <w:b/>
          <w:color w:val="000000"/>
          <w:highlight w:val="none"/>
        </w:rPr>
      </w:pPr>
      <w:r>
        <w:rPr>
          <w:b/>
          <w:color w:val="000000"/>
          <w:spacing w:val="20"/>
          <w:sz w:val="32"/>
          <w:szCs w:val="32"/>
          <w:highlight w:val="none"/>
        </w:rPr>
        <w:br w:type="page" w:clear="all"/>
      </w:r>
      <w:r>
        <w:rPr>
          <w:b/>
          <w:color w:val="000000"/>
          <w:highlight w:val="none"/>
        </w:rPr>
      </w:r>
      <w:r/>
    </w:p>
    <w:p>
      <w:pPr>
        <w:pStyle w:val="937"/>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940"/>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供应商资格声明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937"/>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951"/>
        <w:ind w:firstLine="480"/>
        <w:spacing w:line="460" w:lineRule="exact"/>
        <w:rPr>
          <w:color w:val="000000"/>
          <w:highlight w:val="none"/>
        </w:rPr>
      </w:pP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致：常州正衡招投标有限公司</w:t>
      </w:r>
      <w:r>
        <w:rPr>
          <w:color w:val="000000"/>
          <w:highlight w:val="none"/>
        </w:rPr>
      </w:r>
      <w:r/>
    </w:p>
    <w:p>
      <w:pPr>
        <w:pStyle w:val="951"/>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951"/>
        <w:ind w:firstLine="480"/>
        <w:spacing w:line="460" w:lineRule="exact"/>
        <w:rPr>
          <w:color w:val="000000"/>
          <w:highlight w:val="none"/>
        </w:rPr>
      </w:pP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w:t>
      </w:r>
      <w:r>
        <w:rPr>
          <w:rFonts w:hint="eastAsia"/>
          <w:color w:val="000000"/>
          <w:highlight w:val="none"/>
        </w:rPr>
        <w:t xml:space="preserve">（或参与设计）</w:t>
      </w:r>
      <w:r>
        <w:rPr>
          <w:color w:val="000000"/>
          <w:highlight w:val="none"/>
        </w:rPr>
        <w:t xml:space="preserve">、规范编制或者项目管理、监理、检测等服务的供应商。</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951"/>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951"/>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951"/>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951"/>
        <w:ind w:firstLine="480"/>
        <w:spacing w:line="460" w:lineRule="exact"/>
        <w:rPr>
          <w:color w:val="000000"/>
          <w:highlight w:val="none"/>
        </w:rPr>
      </w:pP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951"/>
        <w:ind w:firstLine="480"/>
        <w:spacing w:line="460" w:lineRule="exact"/>
        <w:rPr>
          <w:color w:val="000000"/>
          <w:highlight w:val="none"/>
        </w:rPr>
      </w:pPr>
      <w:r>
        <w:rPr>
          <w:color w:val="000000"/>
          <w:highlight w:val="none"/>
        </w:rPr>
      </w:r>
      <w:r/>
    </w:p>
    <w:p>
      <w:pPr>
        <w:pStyle w:val="951"/>
        <w:ind w:firstLine="480"/>
        <w:spacing w:line="460" w:lineRule="exact"/>
        <w:rPr>
          <w:color w:val="000000"/>
          <w:highlight w:val="none"/>
        </w:rPr>
      </w:pP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951"/>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951"/>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937"/>
        <w:spacing w:line="360" w:lineRule="auto"/>
        <w:rPr>
          <w:rFonts w:hint="eastAsia"/>
          <w:color w:val="000000"/>
          <w:sz w:val="24"/>
          <w:highlight w:val="none"/>
        </w:rPr>
      </w:pPr>
      <w:r>
        <w:rPr>
          <w:rFonts w:hint="eastAsia"/>
          <w:color w:val="000000"/>
          <w:sz w:val="24"/>
          <w:highlight w:val="none"/>
        </w:rPr>
      </w:r>
      <w:r/>
    </w:p>
    <w:p>
      <w:pPr>
        <w:pStyle w:val="937"/>
        <w:spacing w:line="360" w:lineRule="auto"/>
        <w:rPr>
          <w:rFonts w:hint="eastAsia"/>
          <w:color w:val="000000"/>
          <w:sz w:val="24"/>
          <w:highlight w:val="none"/>
        </w:rPr>
      </w:pPr>
      <w:r>
        <w:rPr>
          <w:rFonts w:hint="eastAsia"/>
          <w:color w:val="000000"/>
          <w:sz w:val="24"/>
          <w:highlight w:val="none"/>
        </w:rPr>
      </w:r>
      <w:r/>
    </w:p>
    <w:p>
      <w:pPr>
        <w:pStyle w:val="937"/>
        <w:spacing w:line="360" w:lineRule="auto"/>
        <w:rPr>
          <w:rFonts w:hint="eastAsia"/>
          <w:color w:val="000000"/>
          <w:sz w:val="24"/>
          <w:highlight w:val="none"/>
        </w:rPr>
      </w:pPr>
      <w:r>
        <w:rPr>
          <w:rFonts w:hint="eastAsia"/>
          <w:color w:val="000000"/>
          <w:sz w:val="24"/>
          <w:highlight w:val="none"/>
        </w:rPr>
      </w:r>
      <w:r/>
    </w:p>
    <w:p>
      <w:pPr>
        <w:pStyle w:val="937"/>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937"/>
        <w:spacing w:line="360" w:lineRule="auto"/>
        <w:tabs>
          <w:tab w:val="left" w:pos="5580" w:leader="none"/>
        </w:tabs>
        <w:rPr>
          <w:color w:val="000000"/>
          <w:sz w:val="24"/>
          <w:szCs w:val="20"/>
          <w:highlight w:val="none"/>
        </w:rPr>
      </w:pPr>
      <w:r>
        <w:rPr>
          <w:color w:val="000000"/>
          <w:sz w:val="24"/>
          <w:highlight w:val="none"/>
        </w:rPr>
        <w:br w:type="page" w:clear="all"/>
      </w:r>
      <w:r>
        <w:rPr>
          <w:rFonts w:hint="eastAsia"/>
          <w:color w:val="000000"/>
          <w:sz w:val="24"/>
          <w:highlight w:val="none"/>
          <w:lang w:val="en-US" w:eastAsia="zh-CN"/>
        </w:rPr>
        <w:t xml:space="preserve">1-2 营业执照副本</w:t>
      </w:r>
      <w:r>
        <w:rPr>
          <w:color w:val="000000"/>
          <w:sz w:val="24"/>
          <w:szCs w:val="20"/>
          <w:highlight w:val="none"/>
        </w:rPr>
        <w:t xml:space="preserve">（实质性格式）</w:t>
      </w:r>
      <w:r>
        <w:rPr>
          <w:color w:val="000000"/>
          <w:sz w:val="24"/>
          <w:szCs w:val="20"/>
          <w:highlight w:val="none"/>
        </w:rPr>
      </w:r>
      <w:r/>
    </w:p>
    <w:p>
      <w:pPr>
        <w:pStyle w:val="937"/>
        <w:spacing w:line="360" w:lineRule="auto"/>
        <w:tabs>
          <w:tab w:val="left" w:pos="5580" w:leader="none"/>
        </w:tabs>
        <w:rPr>
          <w:rFonts w:eastAsia="宋体"/>
          <w:color w:val="000000"/>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color w:val="000000"/>
          <w:sz w:val="24"/>
          <w:szCs w:val="20"/>
          <w:highlight w:val="none"/>
        </w:rPr>
      </w:r>
      <w:r>
        <w:rPr>
          <w:rFonts w:hint="eastAsia"/>
          <w:color w:val="000000"/>
          <w:sz w:val="24"/>
          <w:szCs w:val="20"/>
          <w:highlight w:val="none"/>
          <w:lang w:val="en-US" w:eastAsia="zh-CN"/>
        </w:rPr>
        <w:t xml:space="preserve">1-3 </w:t>
      </w:r>
      <w:r>
        <w:rPr>
          <w:rFonts w:hint="eastAsia" w:ascii="宋体" w:hAnsi="宋体" w:eastAsia="宋体" w:cs="宋体"/>
          <w:color w:val="000000"/>
          <w:sz w:val="24"/>
          <w:highlight w:val="none"/>
          <w:lang w:val="en-US" w:eastAsia="zh-CN"/>
        </w:rPr>
        <w:t xml:space="preserve">其他特定资格要求</w:t>
      </w:r>
      <w:r>
        <w:rPr>
          <w:rFonts w:eastAsia="宋体"/>
          <w:color w:val="000000"/>
          <w:sz w:val="24"/>
          <w:highlight w:val="none"/>
          <w:lang w:val="en-US" w:eastAsia="zh-CN"/>
        </w:rPr>
      </w:r>
      <w:r/>
    </w:p>
    <w:p>
      <w:pPr>
        <w:pStyle w:val="937"/>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937"/>
        <w:spacing w:line="360" w:lineRule="auto"/>
        <w:rPr>
          <w:sz w:val="24"/>
          <w:highlight w:val="none"/>
        </w:rPr>
        <w:outlineLvl w:val="2"/>
      </w:pPr>
      <w:r>
        <w:rPr>
          <w:color w:val="000000"/>
          <w:sz w:val="24"/>
          <w:szCs w:val="20"/>
          <w:highlight w:val="none"/>
        </w:rPr>
        <w:t xml:space="preserve">中小企业声明函</w:t>
      </w:r>
      <w:r>
        <w:rPr>
          <w:sz w:val="24"/>
          <w:highlight w:val="none"/>
        </w:rPr>
      </w:r>
      <w:r/>
    </w:p>
    <w:p>
      <w:pPr>
        <w:pStyle w:val="937"/>
        <w:spacing w:line="360" w:lineRule="auto"/>
        <w:tabs>
          <w:tab w:val="left" w:pos="5580" w:leader="none"/>
        </w:tabs>
        <w:rPr>
          <w:sz w:val="24"/>
        </w:rPr>
      </w:pPr>
      <w:r>
        <w:rPr>
          <w:sz w:val="24"/>
        </w:rPr>
        <w:t xml:space="preserve">说明：</w:t>
      </w:r>
      <w:r>
        <w:rPr>
          <w:sz w:val="24"/>
        </w:rPr>
      </w:r>
      <w:r/>
    </w:p>
    <w:p>
      <w:pPr>
        <w:pStyle w:val="937"/>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937"/>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937"/>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37"/>
        <w:spacing w:line="360" w:lineRule="auto"/>
        <w:tabs>
          <w:tab w:val="left" w:pos="5580" w:leader="none"/>
        </w:tabs>
        <w:rPr>
          <w:sz w:val="24"/>
        </w:rPr>
      </w:pPr>
      <w:r>
        <w:rPr>
          <w:sz w:val="24"/>
        </w:rPr>
        <w:t xml:space="preserve">（4）其它</w:t>
      </w:r>
      <w:r>
        <w:rPr>
          <w:sz w:val="24"/>
        </w:rPr>
      </w:r>
      <w:r/>
    </w:p>
    <w:p>
      <w:pPr>
        <w:pStyle w:val="937"/>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37"/>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37"/>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37"/>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37"/>
        <w:spacing w:line="360" w:lineRule="auto"/>
        <w:tabs>
          <w:tab w:val="left" w:pos="5580" w:leader="none"/>
        </w:tabs>
        <w:rPr>
          <w:sz w:val="24"/>
        </w:rPr>
      </w:pPr>
      <w:r>
        <w:rPr>
          <w:sz w:val="24"/>
        </w:rPr>
      </w:r>
      <w:r/>
    </w:p>
    <w:p>
      <w:pPr>
        <w:pStyle w:val="937"/>
        <w:jc w:val="left"/>
        <w:widowControl/>
        <w:rPr>
          <w:sz w:val="24"/>
        </w:rPr>
      </w:pPr>
      <w:r>
        <w:rPr>
          <w:sz w:val="24"/>
        </w:rPr>
      </w:r>
      <w:r/>
    </w:p>
    <w:p>
      <w:pPr>
        <w:pStyle w:val="937"/>
        <w:spacing w:line="360" w:lineRule="auto"/>
        <w:rPr>
          <w:color w:val="000000"/>
          <w:sz w:val="24"/>
        </w:rPr>
      </w:pPr>
      <w:r>
        <w:rPr>
          <w:color w:val="000000"/>
          <w:sz w:val="24"/>
        </w:rPr>
      </w:r>
      <w:r/>
    </w:p>
    <w:p>
      <w:pPr>
        <w:pStyle w:val="937"/>
        <w:jc w:val="center"/>
        <w:spacing w:before="240" w:after="240" w:line="360" w:lineRule="auto"/>
        <w:rPr>
          <w:b/>
          <w:bCs/>
          <w:color w:val="000000"/>
          <w:sz w:val="36"/>
          <w:szCs w:val="36"/>
        </w:rPr>
      </w:pPr>
      <w:r>
        <w:rPr>
          <w:color w:val="000000"/>
          <w:sz w:val="24"/>
        </w:rPr>
        <w:br w:type="page" w:clear="all"/>
      </w:r>
      <w:r>
        <w:rPr>
          <w:rFonts w:hint="eastAsia"/>
          <w:b/>
          <w:bCs/>
          <w:color w:val="000000"/>
          <w:sz w:val="36"/>
          <w:szCs w:val="36"/>
        </w:rPr>
        <w:t xml:space="preserve">中小企业声明函（工程、服务）格式</w:t>
      </w:r>
      <w:r>
        <w:rPr>
          <w:b/>
          <w:bCs/>
          <w:color w:val="000000"/>
          <w:sz w:val="36"/>
          <w:szCs w:val="36"/>
        </w:rPr>
      </w:r>
      <w:r/>
    </w:p>
    <w:p>
      <w:pPr>
        <w:pStyle w:val="937"/>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37"/>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37"/>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37"/>
        <w:ind w:firstLine="504"/>
        <w:spacing w:line="360" w:lineRule="auto"/>
        <w:rPr>
          <w:spacing w:val="6"/>
          <w:sz w:val="24"/>
        </w:rPr>
      </w:pPr>
      <w:r>
        <w:rPr>
          <w:spacing w:val="6"/>
          <w:sz w:val="24"/>
        </w:rPr>
      </w:r>
      <w:r/>
    </w:p>
    <w:p>
      <w:pPr>
        <w:pStyle w:val="937"/>
        <w:ind w:firstLine="504"/>
        <w:spacing w:line="360" w:lineRule="auto"/>
        <w:rPr>
          <w:spacing w:val="6"/>
          <w:sz w:val="24"/>
        </w:rPr>
      </w:pPr>
      <w:r>
        <w:rPr>
          <w:spacing w:val="6"/>
          <w:sz w:val="24"/>
        </w:rPr>
        <w:t xml:space="preserve">……</w:t>
      </w:r>
      <w:r>
        <w:rPr>
          <w:spacing w:val="6"/>
          <w:sz w:val="24"/>
        </w:rPr>
      </w:r>
      <w:r/>
    </w:p>
    <w:p>
      <w:pPr>
        <w:pStyle w:val="937"/>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37"/>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37"/>
        <w:ind w:right="360" w:firstLine="480"/>
        <w:jc w:val="right"/>
        <w:spacing w:line="360" w:lineRule="auto"/>
        <w:rPr>
          <w:color w:val="000000"/>
          <w:sz w:val="24"/>
        </w:rPr>
      </w:pPr>
      <w:r>
        <w:rPr>
          <w:color w:val="000000"/>
          <w:sz w:val="24"/>
        </w:rPr>
      </w:r>
      <w:r/>
    </w:p>
    <w:p>
      <w:pPr>
        <w:pStyle w:val="937"/>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937"/>
        <w:ind w:right="360" w:firstLine="480"/>
        <w:jc w:val="right"/>
        <w:spacing w:line="360" w:lineRule="auto"/>
        <w:rPr>
          <w:color w:val="000000"/>
          <w:sz w:val="24"/>
        </w:rPr>
      </w:pPr>
      <w:r>
        <w:rPr>
          <w:color w:val="000000"/>
          <w:sz w:val="24"/>
        </w:rPr>
        <w:t xml:space="preserve">日 期：________</w:t>
      </w:r>
      <w:r>
        <w:rPr>
          <w:color w:val="000000"/>
          <w:sz w:val="24"/>
        </w:rPr>
      </w:r>
      <w:r/>
    </w:p>
    <w:p>
      <w:pPr>
        <w:pStyle w:val="937"/>
        <w:jc w:val="left"/>
        <w:rPr>
          <w:color w:val="000000"/>
          <w:sz w:val="24"/>
          <w:szCs w:val="21"/>
        </w:rPr>
      </w:pPr>
      <w:r>
        <w:rPr>
          <w:color w:val="000000"/>
          <w:sz w:val="24"/>
          <w:szCs w:val="21"/>
        </w:rPr>
      </w:r>
      <w:r/>
    </w:p>
    <w:p>
      <w:pPr>
        <w:pStyle w:val="937"/>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37"/>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937"/>
        <w:jc w:val="left"/>
        <w:rPr>
          <w:color w:val="000000"/>
          <w:szCs w:val="21"/>
          <w:vertAlign w:val="superscript"/>
        </w:rPr>
      </w:pPr>
      <w:r>
        <w:rPr>
          <w:color w:val="000000"/>
          <w:szCs w:val="21"/>
          <w:vertAlign w:val="superscript"/>
        </w:rPr>
      </w:r>
      <w:r/>
    </w:p>
    <w:p>
      <w:pPr>
        <w:pStyle w:val="937"/>
        <w:ind w:right="360" w:firstLine="480"/>
        <w:jc w:val="right"/>
        <w:spacing w:line="360" w:lineRule="auto"/>
        <w:rPr>
          <w:color w:val="000000"/>
          <w:sz w:val="24"/>
        </w:rPr>
      </w:pPr>
      <w:r>
        <w:rPr>
          <w:color w:val="000000"/>
          <w:sz w:val="24"/>
        </w:rPr>
      </w:r>
      <w:r/>
    </w:p>
    <w:p>
      <w:pPr>
        <w:pStyle w:val="937"/>
        <w:jc w:val="center"/>
        <w:spacing w:before="240" w:after="240" w:line="360" w:lineRule="auto"/>
        <w:rPr>
          <w:rFonts w:hint="eastAsia"/>
          <w:color w:val="000000"/>
          <w:sz w:val="24"/>
          <w:szCs w:val="20"/>
        </w:rPr>
      </w:pPr>
      <w:r>
        <w:rPr>
          <w:rFonts w:hint="eastAsia"/>
          <w:color w:val="000000"/>
          <w:sz w:val="24"/>
          <w:szCs w:val="20"/>
        </w:rPr>
      </w:r>
      <w:r/>
    </w:p>
    <w:p>
      <w:pPr>
        <w:pStyle w:val="937"/>
        <w:jc w:val="center"/>
        <w:spacing w:before="240" w:after="240" w:line="360" w:lineRule="auto"/>
        <w:rPr>
          <w:rFonts w:hint="eastAsia"/>
          <w:color w:val="000000"/>
          <w:sz w:val="24"/>
          <w:szCs w:val="20"/>
        </w:rPr>
      </w:pPr>
      <w:r>
        <w:rPr>
          <w:rFonts w:hint="eastAsia"/>
          <w:color w:val="000000"/>
          <w:sz w:val="24"/>
          <w:szCs w:val="20"/>
        </w:rPr>
      </w:r>
      <w:r/>
    </w:p>
    <w:p>
      <w:pPr>
        <w:pStyle w:val="937"/>
        <w:jc w:val="center"/>
        <w:spacing w:before="240" w:after="240" w:line="360" w:lineRule="auto"/>
        <w:rPr>
          <w:rFonts w:hint="eastAsia"/>
          <w:color w:val="000000"/>
          <w:sz w:val="24"/>
          <w:szCs w:val="20"/>
        </w:rPr>
      </w:pPr>
      <w:r>
        <w:rPr>
          <w:rFonts w:hint="eastAsia"/>
          <w:color w:val="000000"/>
          <w:sz w:val="24"/>
          <w:szCs w:val="20"/>
        </w:rPr>
      </w:r>
      <w:r/>
    </w:p>
    <w:p>
      <w:pPr>
        <w:pStyle w:val="937"/>
        <w:jc w:val="center"/>
        <w:spacing w:before="240" w:after="240" w:line="360" w:lineRule="auto"/>
        <w:rPr>
          <w:rFonts w:hint="eastAsia"/>
          <w:color w:val="000000"/>
          <w:sz w:val="24"/>
          <w:szCs w:val="20"/>
        </w:rPr>
      </w:pPr>
      <w:r>
        <w:rPr>
          <w:rFonts w:hint="eastAsia"/>
          <w:color w:val="000000"/>
          <w:sz w:val="24"/>
          <w:szCs w:val="20"/>
        </w:rPr>
      </w:r>
      <w:r/>
    </w:p>
    <w:p>
      <w:pPr>
        <w:pStyle w:val="937"/>
        <w:jc w:val="center"/>
        <w:spacing w:before="240" w:after="240" w:line="360" w:lineRule="auto"/>
        <w:rPr>
          <w:color w:val="000000"/>
          <w:sz w:val="24"/>
          <w:szCs w:val="20"/>
        </w:rPr>
      </w:pPr>
      <w:r>
        <w:rPr>
          <w:color w:val="000000"/>
          <w:sz w:val="24"/>
          <w:szCs w:val="20"/>
        </w:rPr>
      </w:r>
      <w:r/>
    </w:p>
    <w:p>
      <w:pPr>
        <w:pStyle w:val="937"/>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937"/>
        <w:jc w:val="center"/>
        <w:rPr>
          <w:color w:val="000000"/>
          <w:sz w:val="36"/>
          <w:szCs w:val="36"/>
        </w:rPr>
      </w:pPr>
      <w:r>
        <w:rPr>
          <w:color w:val="000000"/>
          <w:sz w:val="36"/>
          <w:szCs w:val="36"/>
        </w:rPr>
      </w:r>
      <w:r/>
    </w:p>
    <w:p>
      <w:pPr>
        <w:pStyle w:val="937"/>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37"/>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37"/>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37"/>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37"/>
        <w:ind w:firstLine="504"/>
        <w:spacing w:line="588" w:lineRule="exact"/>
        <w:rPr>
          <w:spacing w:val="6"/>
          <w:sz w:val="24"/>
        </w:rPr>
      </w:pPr>
      <w:r>
        <w:rPr>
          <w:spacing w:val="6"/>
          <w:sz w:val="24"/>
        </w:rPr>
      </w:r>
      <w:r/>
    </w:p>
    <w:p>
      <w:pPr>
        <w:pStyle w:val="937"/>
        <w:ind w:firstLine="504"/>
        <w:spacing w:line="588" w:lineRule="exact"/>
        <w:rPr>
          <w:spacing w:val="6"/>
          <w:sz w:val="24"/>
        </w:rPr>
      </w:pP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37"/>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40"/>
        <w:rPr>
          <w:rFonts w:hint="eastAsia"/>
        </w:rPr>
      </w:pPr>
      <w:r>
        <w:rPr>
          <w:rFonts w:hint="eastAsia"/>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tabs>
          <w:tab w:val="left" w:pos="5580" w:leader="none"/>
        </w:tabs>
        <w:rPr>
          <w:color w:val="000000"/>
          <w:sz w:val="24"/>
          <w:szCs w:val="20"/>
          <w:highlight w:val="none"/>
        </w:rPr>
      </w:pPr>
      <w:r>
        <w:rPr>
          <w:color w:val="000000"/>
          <w:sz w:val="24"/>
          <w:szCs w:val="20"/>
          <w:highlight w:val="none"/>
        </w:rPr>
      </w:r>
      <w:r/>
    </w:p>
    <w:p>
      <w:pPr>
        <w:pStyle w:val="937"/>
        <w:spacing w:line="360" w:lineRule="auto"/>
        <w:rPr>
          <w:color w:val="000000"/>
          <w:sz w:val="24"/>
          <w:szCs w:val="20"/>
          <w:highlight w:val="none"/>
        </w:rPr>
        <w:outlineLvl w:val="2"/>
      </w:pPr>
      <w:r>
        <w:rPr>
          <w:b/>
          <w:color w:val="000000"/>
          <w:sz w:val="24"/>
          <w:highlight w:val="none"/>
        </w:rPr>
        <w:br w:type="page" w:clear="all"/>
      </w:r>
      <w:bookmarkStart w:id="653" w:name="_Toc480942350"/>
      <w:r/>
      <w:bookmarkStart w:id="654" w:name="_Toc226965747"/>
      <w:r/>
      <w:bookmarkStart w:id="655" w:name="_Toc305158899"/>
      <w:r/>
      <w:bookmarkStart w:id="656" w:name="_Toc226965830"/>
      <w:r/>
      <w:bookmarkStart w:id="657" w:name="_Toc195842922"/>
      <w:r/>
      <w:bookmarkStart w:id="658" w:name="_Ref467988705"/>
      <w:r/>
      <w:bookmarkStart w:id="659" w:name="_Toc150480795"/>
      <w:r/>
      <w:bookmarkStart w:id="660" w:name="_Toc305158825"/>
      <w:r/>
      <w:bookmarkStart w:id="661" w:name="_Toc142311059"/>
      <w:r/>
      <w:bookmarkStart w:id="662" w:name="_Toc150774762"/>
      <w:r/>
      <w:bookmarkStart w:id="663" w:name="_Toc265228395"/>
      <w:r/>
      <w:bookmarkStart w:id="664" w:name="_Toc226337253"/>
      <w:r/>
      <w:bookmarkStart w:id="665" w:name="_Toc520356218"/>
      <w:r/>
      <w:bookmarkStart w:id="666" w:name="_Toc127151557"/>
      <w:r/>
      <w:bookmarkStart w:id="667" w:name="_Toc264969247"/>
      <w:r/>
      <w:bookmarkStart w:id="668" w:name="_Toc226309801"/>
      <w:r>
        <w:rPr>
          <w:rFonts w:hint="eastAsia"/>
          <w:color w:val="000000"/>
          <w:sz w:val="24"/>
          <w:highlight w:val="none"/>
          <w:lang w:val="en-US" w:eastAsia="zh-CN"/>
        </w:rPr>
        <w:t xml:space="preserve">3</w:t>
      </w:r>
      <w:r>
        <w:rPr>
          <w:color w:val="000000"/>
          <w:sz w:val="24"/>
          <w:szCs w:val="20"/>
          <w:highlight w:val="none"/>
        </w:rPr>
        <w:t xml:space="preserve">  </w:t>
      </w:r>
      <w:r>
        <w:rPr>
          <w:color w:val="000000"/>
          <w:sz w:val="24"/>
          <w:highlight w:val="none"/>
        </w:rPr>
        <w:t xml:space="preserve">响应</w:t>
      </w:r>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937"/>
        <w:spacing w:line="360" w:lineRule="auto"/>
        <w:tabs>
          <w:tab w:val="left" w:pos="5580" w:leader="none"/>
        </w:tabs>
        <w:rPr>
          <w:color w:val="000000"/>
          <w:sz w:val="24"/>
          <w:highlight w:val="none"/>
        </w:rPr>
      </w:pPr>
      <w:r>
        <w:rPr>
          <w:color w:val="000000"/>
          <w:sz w:val="24"/>
          <w:highlight w:val="none"/>
        </w:rPr>
      </w:r>
      <w:r/>
    </w:p>
    <w:p>
      <w:pPr>
        <w:pStyle w:val="937"/>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93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937"/>
        <w:spacing w:line="360" w:lineRule="auto"/>
        <w:tabs>
          <w:tab w:val="left" w:pos="5580" w:leader="none"/>
        </w:tabs>
        <w:rPr>
          <w:color w:val="000000"/>
          <w:sz w:val="24"/>
          <w:szCs w:val="20"/>
          <w:highlight w:val="none"/>
        </w:rPr>
      </w:pPr>
      <w:r>
        <w:rPr>
          <w:color w:val="000000"/>
          <w:sz w:val="24"/>
          <w:szCs w:val="20"/>
          <w:highlight w:val="none"/>
        </w:rPr>
      </w:r>
      <w:r/>
    </w:p>
    <w:p>
      <w:pPr>
        <w:pStyle w:val="937"/>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93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93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93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93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93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sz w:val="24"/>
          <w:highlight w:val="none"/>
        </w:rPr>
      </w:r>
      <w:r/>
    </w:p>
    <w:p>
      <w:pPr>
        <w:pStyle w:val="93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937"/>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93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93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937"/>
        <w:jc w:val="left"/>
        <w:widowControl/>
        <w:rPr>
          <w:rFonts w:hint="eastAsia"/>
          <w:color w:val="000000"/>
          <w:sz w:val="24"/>
          <w:highlight w:val="none"/>
        </w:rPr>
      </w:pPr>
      <w:r/>
      <w:bookmarkStart w:id="669" w:name="_Hlt520355938"/>
      <w:r/>
      <w:bookmarkEnd w:id="669"/>
      <w:r/>
      <w:bookmarkStart w:id="670" w:name="_Hlt520356243"/>
      <w:r/>
      <w:bookmarkEnd w:id="670"/>
      <w:r>
        <w:rPr>
          <w:color w:val="000000"/>
          <w:sz w:val="24"/>
          <w:highlight w:val="none"/>
        </w:rPr>
        <w:br w:type="page" w:clear="all"/>
      </w: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93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上述项目的响应文件、进行合同磋商、签署合同和处理与之有关的一切事务。</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ascii="宋体" w:hAnsi="宋体"/>
          <w:color w:val="000000"/>
          <w:sz w:val="24"/>
          <w:highlight w:val="none"/>
        </w:rPr>
      </w:r>
      <w:r/>
    </w:p>
    <w:p>
      <w:pPr>
        <w:pStyle w:val="968"/>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93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3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3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磋商文件</w:t>
      </w:r>
      <w:r>
        <w:rPr>
          <w:rFonts w:ascii="宋体" w:hAnsi="宋体"/>
          <w:color w:val="000000"/>
          <w:sz w:val="24"/>
          <w:szCs w:val="20"/>
          <w:highlight w:val="none"/>
        </w:rPr>
        <w:t xml:space="preserve">注明允许分支机构</w:t>
      </w:r>
      <w:r>
        <w:rPr>
          <w:rFonts w:hint="eastAsia" w:ascii="宋体" w:hAnsi="宋体"/>
          <w:color w:val="000000"/>
          <w:sz w:val="24"/>
          <w:szCs w:val="20"/>
          <w:highlight w:val="none"/>
        </w:rPr>
        <w:t xml:space="preserve">响应</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37"/>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w:t>
      </w:r>
      <w:r>
        <w:rPr>
          <w:rFonts w:ascii="宋体" w:hAnsi="宋体"/>
          <w:i/>
          <w:color w:val="000000"/>
          <w:sz w:val="24"/>
          <w:szCs w:val="20"/>
          <w:highlight w:val="none"/>
          <w:u w:val="singl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  授权委托书</w:t>
      </w:r>
      <w:r>
        <w:rPr>
          <w:rFonts w:hint="eastAsia" w:ascii="宋体" w:hAnsi="宋体" w:cs="宋体"/>
          <w:color w:val="000000"/>
          <w:sz w:val="24"/>
          <w:szCs w:val="20"/>
          <w:highlight w:val="none"/>
        </w:rPr>
        <w:t xml:space="preserve">（实质性格式）</w:t>
      </w:r>
      <w:r>
        <w:rPr>
          <w:rFonts w:hint="eastAsia" w:ascii="宋体" w:hAnsi="宋体" w:cs="宋体"/>
          <w:color w:val="000000"/>
          <w:sz w:val="24"/>
          <w:highlight w:val="none"/>
        </w:rPr>
      </w:r>
      <w:r/>
    </w:p>
    <w:p>
      <w:pPr>
        <w:pStyle w:val="937"/>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93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68"/>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93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3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37"/>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937"/>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937"/>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937"/>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r>
      <w:r/>
    </w:p>
    <w:p>
      <w:pPr>
        <w:pStyle w:val="937"/>
        <w:jc w:val="left"/>
        <w:widowControl/>
        <w:rPr>
          <w:rFonts w:hint="eastAsia"/>
          <w:color w:val="000000"/>
          <w:sz w:val="24"/>
          <w:highlight w:val="none"/>
        </w:rPr>
      </w:pPr>
      <w:r>
        <w:rPr>
          <w:rFonts w:hint="eastAsia"/>
          <w:color w:val="000000"/>
          <w:sz w:val="24"/>
          <w:highlight w:val="none"/>
        </w:rPr>
        <w:br w:type="page" w:clear="all"/>
      </w:r>
      <w:r>
        <w:rPr>
          <w:rFonts w:hint="eastAsia"/>
          <w:color w:val="000000"/>
          <w:sz w:val="24"/>
          <w:highlight w:val="none"/>
          <w:lang w:val="en-US" w:eastAsia="zh-CN"/>
        </w:rPr>
        <w:t xml:space="preserve">5</w:t>
      </w:r>
      <w:r>
        <w:rPr>
          <w:rFonts w:hint="eastAsia"/>
          <w:color w:val="000000"/>
          <w:sz w:val="24"/>
          <w:highlight w:val="none"/>
        </w:rPr>
        <w:t xml:space="preserve">  政府采购供应商信用承诺书</w:t>
      </w:r>
      <w:r>
        <w:rPr>
          <w:color w:val="000000"/>
          <w:sz w:val="24"/>
          <w:szCs w:val="20"/>
          <w:highlight w:val="none"/>
        </w:rPr>
        <w:t xml:space="preserve">（实质性格式）</w:t>
      </w:r>
      <w:r>
        <w:rPr>
          <w:rFonts w:hint="eastAsia"/>
          <w:color w:val="000000"/>
          <w:sz w:val="24"/>
          <w:highlight w:val="none"/>
        </w:rPr>
      </w:r>
      <w:r/>
    </w:p>
    <w:p>
      <w:pPr>
        <w:pStyle w:val="937"/>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7"/>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937"/>
        <w:ind w:firstLine="640"/>
        <w:rPr>
          <w:color w:val="000000"/>
          <w:highlight w:val="none"/>
        </w:rPr>
      </w:pPr>
      <w:r>
        <w:rPr>
          <w:color w:val="000000"/>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3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86"/>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spacing w:line="360" w:lineRule="auto"/>
        <w:rPr>
          <w:color w:val="000000"/>
          <w:sz w:val="24"/>
          <w:szCs w:val="20"/>
          <w:highlight w:val="none"/>
        </w:rPr>
        <w:outlineLvl w:val="2"/>
      </w:pPr>
      <w:r>
        <w:rPr>
          <w:color w:val="000000"/>
          <w:sz w:val="24"/>
          <w:szCs w:val="20"/>
          <w:highlight w:val="none"/>
        </w:rPr>
        <w:br w:type="page" w:clear="all"/>
      </w:r>
      <w:r>
        <w:rPr>
          <w:color w:val="000000"/>
          <w:sz w:val="24"/>
          <w:szCs w:val="20"/>
          <w:highlight w:val="none"/>
        </w:rPr>
      </w:r>
      <w:r/>
    </w:p>
    <w:p>
      <w:pPr>
        <w:pStyle w:val="937"/>
        <w:spacing w:line="360" w:lineRule="auto"/>
        <w:rPr>
          <w:color w:val="000000"/>
          <w:sz w:val="24"/>
          <w:szCs w:val="20"/>
          <w:highlight w:val="none"/>
        </w:rPr>
        <w:outlineLvl w:val="2"/>
      </w:pPr>
      <w:r>
        <w:rPr>
          <w:rFonts w:hint="eastAsia"/>
          <w:color w:val="000000"/>
          <w:sz w:val="24"/>
          <w:szCs w:val="20"/>
          <w:highlight w:val="none"/>
          <w:lang w:val="en-US" w:eastAsia="zh-CN"/>
        </w:rPr>
        <w:t xml:space="preserve">6</w:t>
      </w:r>
      <w:r>
        <w:rPr>
          <w:color w:val="000000"/>
          <w:sz w:val="24"/>
          <w:szCs w:val="20"/>
          <w:highlight w:val="none"/>
        </w:rPr>
        <w:t xml:space="preserve">  报价一览表</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color w:val="000000"/>
          <w:sz w:val="24"/>
          <w:szCs w:val="20"/>
          <w:highlight w:val="none"/>
        </w:rPr>
      </w:r>
      <w:r/>
    </w:p>
    <w:p>
      <w:pPr>
        <w:pStyle w:val="937"/>
        <w:jc w:val="center"/>
        <w:rPr>
          <w:b/>
          <w:color w:val="000000"/>
          <w:sz w:val="36"/>
          <w:szCs w:val="36"/>
          <w:highlight w:val="none"/>
        </w:rPr>
      </w:pPr>
      <w:r/>
      <w:bookmarkStart w:id="671" w:name="_Toc264969248"/>
      <w:r/>
      <w:bookmarkStart w:id="672" w:name="_Toc265228396"/>
      <w:r/>
      <w:bookmarkStart w:id="673" w:name="_Toc226337254"/>
      <w:r/>
      <w:bookmarkStart w:id="674" w:name="_Toc305158826"/>
      <w:r/>
      <w:bookmarkStart w:id="675" w:name="_Toc226965748"/>
      <w:r/>
      <w:bookmarkStart w:id="676" w:name="_Toc164608827"/>
      <w:r/>
      <w:bookmarkStart w:id="677" w:name="_Toc226309802"/>
      <w:r/>
      <w:bookmarkStart w:id="678" w:name="_Toc195842923"/>
      <w:r/>
      <w:bookmarkStart w:id="679" w:name="_Toc164608672"/>
      <w:r/>
      <w:bookmarkStart w:id="680" w:name="_Toc226965831"/>
      <w:r/>
      <w:bookmarkStart w:id="681" w:name="_Toc305158900"/>
      <w:r>
        <w:rPr>
          <w:rFonts w:hint="eastAsia"/>
          <w:b/>
          <w:color w:val="000000"/>
          <w:sz w:val="36"/>
          <w:szCs w:val="36"/>
          <w:highlight w:val="none"/>
        </w:rPr>
        <w:t xml:space="preserve">报价一览表</w:t>
      </w:r>
      <w:bookmarkEnd w:id="671"/>
      <w:r/>
      <w:bookmarkEnd w:id="672"/>
      <w:r/>
      <w:bookmarkEnd w:id="673"/>
      <w:r/>
      <w:bookmarkEnd w:id="674"/>
      <w:r/>
      <w:bookmarkEnd w:id="675"/>
      <w:r/>
      <w:bookmarkEnd w:id="676"/>
      <w:r/>
      <w:bookmarkEnd w:id="677"/>
      <w:r/>
      <w:bookmarkEnd w:id="678"/>
      <w:r/>
      <w:bookmarkEnd w:id="679"/>
      <w:r/>
      <w:bookmarkEnd w:id="680"/>
      <w:r/>
      <w:bookmarkEnd w:id="681"/>
      <w:r>
        <w:rPr>
          <w:b/>
          <w:color w:val="000000"/>
          <w:sz w:val="36"/>
          <w:szCs w:val="36"/>
          <w:highlight w:val="none"/>
        </w:rPr>
      </w:r>
      <w:r/>
    </w:p>
    <w:p>
      <w:pPr>
        <w:pStyle w:val="937"/>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7"/>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937"/>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4517" w:type="pct"/>
        <w:jc w:val="center"/>
        <w:tblInd w:w="4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1"/>
        <w:gridCol w:w="3218"/>
        <w:gridCol w:w="2290"/>
        <w:gridCol w:w="1886"/>
      </w:tblGrid>
      <w:tr>
        <w:trPr>
          <w:trHeight w:val="531"/>
        </w:trPr>
        <w:tc>
          <w:tcPr>
            <w:tcW w:w="494" w:type="dxa"/>
            <w:vAlign w:val="center"/>
            <w:vMerge w:val="restart"/>
            <w:textDirection w:val="lrTb"/>
            <w:noWrap w:val="false"/>
          </w:tcPr>
          <w:p>
            <w:pPr>
              <w:pStyle w:val="937"/>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37"/>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gridSpan w:val="2"/>
            <w:tcW w:w="4176" w:type="dxa"/>
            <w:vAlign w:val="center"/>
            <w:textDirection w:val="lrTb"/>
            <w:noWrap w:val="false"/>
          </w:tcPr>
          <w:p>
            <w:pPr>
              <w:pStyle w:val="937"/>
              <w:jc w:val="center"/>
              <w:tabs>
                <w:tab w:val="left" w:pos="5580" w:leader="none"/>
              </w:tabs>
              <w:rPr>
                <w:rFonts w:hint="eastAsia"/>
                <w:b/>
                <w:color w:val="000000"/>
                <w:sz w:val="24"/>
                <w:highlight w:val="none"/>
              </w:rPr>
            </w:pPr>
            <w:r>
              <w:rPr>
                <w:rFonts w:hint="eastAsia"/>
                <w:b/>
                <w:color w:val="000000"/>
                <w:sz w:val="24"/>
                <w:highlight w:val="none"/>
              </w:rPr>
              <w:t xml:space="preserve">报价</w:t>
            </w:r>
            <w:r>
              <w:rPr>
                <w:rFonts w:hint="eastAsia"/>
                <w:b/>
                <w:color w:val="000000"/>
                <w:sz w:val="24"/>
                <w:highlight w:val="none"/>
              </w:rPr>
            </w:r>
            <w:r/>
          </w:p>
        </w:tc>
      </w:tr>
      <w:tr>
        <w:trPr>
          <w:trHeight w:val="674"/>
        </w:trPr>
        <w:tc>
          <w:tcPr>
            <w:tcW w:w="811" w:type="dxa"/>
            <w:vAlign w:val="center"/>
            <w:vMerge w:val="continue"/>
            <w:textDirection w:val="lrTb"/>
            <w:noWrap w:val="false"/>
          </w:tcPr>
          <w:p>
            <w:pPr>
              <w:pStyle w:val="937"/>
              <w:jc w:val="left"/>
              <w:widowControl/>
              <w:rPr>
                <w:b/>
                <w:color w:val="000000"/>
                <w:sz w:val="24"/>
                <w:highlight w:val="none"/>
              </w:rPr>
            </w:pPr>
            <w:r>
              <w:rPr>
                <w:b/>
                <w:color w:val="000000"/>
                <w:sz w:val="24"/>
                <w:highlight w:val="none"/>
              </w:rPr>
            </w:r>
            <w:r/>
          </w:p>
        </w:tc>
        <w:tc>
          <w:tcPr>
            <w:tcW w:w="3218" w:type="dxa"/>
            <w:vAlign w:val="center"/>
            <w:vMerge w:val="continue"/>
            <w:textDirection w:val="lrTb"/>
            <w:noWrap w:val="false"/>
          </w:tcPr>
          <w:p>
            <w:pPr>
              <w:pStyle w:val="937"/>
              <w:jc w:val="left"/>
              <w:widowControl/>
              <w:rPr>
                <w:b/>
                <w:color w:val="000000"/>
                <w:sz w:val="24"/>
                <w:highlight w:val="none"/>
              </w:rPr>
            </w:pPr>
            <w:r>
              <w:rPr>
                <w:b/>
                <w:color w:val="000000"/>
                <w:sz w:val="24"/>
                <w:highlight w:val="none"/>
              </w:rPr>
            </w:r>
            <w:r/>
          </w:p>
        </w:tc>
        <w:tc>
          <w:tcPr>
            <w:tcW w:w="1395" w:type="dxa"/>
            <w:vAlign w:val="center"/>
            <w:textDirection w:val="lrTb"/>
            <w:noWrap w:val="false"/>
          </w:tcPr>
          <w:p>
            <w:pPr>
              <w:pStyle w:val="937"/>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149" w:type="dxa"/>
            <w:vAlign w:val="center"/>
            <w:textDirection w:val="lrTb"/>
            <w:noWrap w:val="false"/>
          </w:tcPr>
          <w:p>
            <w:pPr>
              <w:pStyle w:val="937"/>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4" w:type="dxa"/>
            <w:vAlign w:val="center"/>
            <w:textDirection w:val="lrTb"/>
            <w:noWrap w:val="false"/>
          </w:tcPr>
          <w:p>
            <w:pPr>
              <w:pStyle w:val="937"/>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37"/>
              <w:jc w:val="center"/>
              <w:tabs>
                <w:tab w:val="left" w:pos="5580" w:leader="none"/>
              </w:tabs>
              <w:rPr>
                <w:color w:val="000000"/>
                <w:sz w:val="24"/>
                <w:highlight w:val="none"/>
              </w:rPr>
            </w:pPr>
            <w:r>
              <w:rPr>
                <w:color w:val="000000"/>
                <w:sz w:val="24"/>
                <w:highlight w:val="none"/>
              </w:rPr>
            </w:r>
            <w:r/>
          </w:p>
        </w:tc>
        <w:tc>
          <w:tcPr>
            <w:tcW w:w="1395" w:type="dxa"/>
            <w:vAlign w:val="center"/>
            <w:textDirection w:val="lrTb"/>
            <w:noWrap w:val="false"/>
          </w:tcPr>
          <w:p>
            <w:pPr>
              <w:pStyle w:val="937"/>
              <w:ind w:firstLine="482"/>
              <w:jc w:val="both"/>
              <w:tabs>
                <w:tab w:val="left" w:pos="5580" w:leader="none"/>
              </w:tabs>
              <w:rPr>
                <w:rFonts w:eastAsia="宋体"/>
                <w:b/>
                <w:bCs/>
                <w:color w:val="000000"/>
                <w:sz w:val="24"/>
                <w:highlight w:val="none"/>
                <w:u w:val="single"/>
                <w:lang w:val="en-US" w:eastAsia="zh-CN"/>
              </w:rPr>
            </w:pPr>
            <w:r>
              <w:rPr>
                <w:rFonts w:eastAsia="宋体"/>
                <w:b/>
                <w:bCs/>
                <w:color w:val="000000"/>
                <w:sz w:val="24"/>
                <w:highlight w:val="none"/>
                <w:u w:val="single"/>
                <w:lang w:val="en-US" w:eastAsia="zh-CN"/>
              </w:rPr>
            </w:r>
            <w:r/>
          </w:p>
        </w:tc>
        <w:tc>
          <w:tcPr>
            <w:tcW w:w="1149" w:type="dxa"/>
            <w:vAlign w:val="center"/>
            <w:textDirection w:val="lrTb"/>
            <w:noWrap w:val="false"/>
          </w:tcPr>
          <w:p>
            <w:pPr>
              <w:pStyle w:val="937"/>
              <w:jc w:val="center"/>
              <w:tabs>
                <w:tab w:val="left" w:pos="5580" w:leader="none"/>
              </w:tabs>
              <w:rPr>
                <w:rFonts w:hint="eastAsia" w:eastAsia="宋体"/>
                <w:b/>
                <w:bCs/>
                <w:color w:val="000000"/>
                <w:sz w:val="24"/>
                <w:highlight w:val="none"/>
                <w:lang w:val="en-US" w:eastAsia="zh-CN"/>
              </w:rPr>
            </w:pPr>
            <w:r>
              <w:rPr>
                <w:rFonts w:hint="eastAsia" w:eastAsia="宋体"/>
                <w:b/>
                <w:bCs/>
                <w:color w:val="000000"/>
                <w:sz w:val="24"/>
                <w:highlight w:val="none"/>
                <w:lang w:val="en-US" w:eastAsia="zh-CN"/>
              </w:rPr>
            </w:r>
            <w:r/>
          </w:p>
        </w:tc>
      </w:tr>
    </w:tbl>
    <w:p>
      <w:pPr>
        <w:pStyle w:val="937"/>
        <w:jc w:val="left"/>
        <w:rPr>
          <w:color w:val="000000"/>
          <w:sz w:val="24"/>
          <w:highlight w:val="none"/>
        </w:rPr>
      </w:pPr>
      <w:r>
        <w:rPr>
          <w:color w:val="000000"/>
          <w:sz w:val="24"/>
          <w:highlight w:val="none"/>
        </w:rPr>
      </w:r>
      <w:r/>
    </w:p>
    <w:p>
      <w:pPr>
        <w:pStyle w:val="937"/>
        <w:spacing w:before="25" w:after="25" w:line="360" w:lineRule="auto"/>
        <w:rPr>
          <w:color w:val="000000"/>
          <w:sz w:val="24"/>
          <w:highlight w:val="none"/>
        </w:rPr>
      </w:pPr>
      <w:r>
        <w:rPr>
          <w:color w:val="000000"/>
          <w:sz w:val="24"/>
          <w:highlight w:val="none"/>
        </w:rPr>
      </w:r>
      <w:r/>
    </w:p>
    <w:p>
      <w:pPr>
        <w:pStyle w:val="937"/>
        <w:spacing w:before="25" w:after="25" w:line="360" w:lineRule="auto"/>
        <w:rPr>
          <w:color w:val="000000"/>
          <w:sz w:val="24"/>
          <w:highlight w:val="none"/>
        </w:rPr>
      </w:pPr>
      <w:r>
        <w:rPr>
          <w:color w:val="000000"/>
          <w:sz w:val="24"/>
          <w:highlight w:val="none"/>
        </w:rPr>
      </w:r>
      <w:r/>
    </w:p>
    <w:p>
      <w:pPr>
        <w:pStyle w:val="937"/>
        <w:spacing w:before="25" w:after="25" w:line="360" w:lineRule="auto"/>
        <w:rPr>
          <w:color w:val="000000"/>
          <w:sz w:val="24"/>
          <w:highlight w:val="none"/>
        </w:rPr>
      </w:pPr>
      <w:r>
        <w:rPr>
          <w:color w:val="000000"/>
          <w:sz w:val="24"/>
          <w:highlight w:val="none"/>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spacing w:line="360" w:lineRule="auto"/>
        <w:rPr>
          <w:color w:val="000000"/>
          <w:sz w:val="24"/>
          <w:szCs w:val="20"/>
          <w:highlight w:val="none"/>
        </w:rPr>
        <w:outlineLvl w:val="2"/>
      </w:pPr>
      <w:r/>
      <w:bookmarkStart w:id="682" w:name="_Toc305158830"/>
      <w:r/>
      <w:bookmarkStart w:id="683" w:name="_Toc226965835"/>
      <w:r/>
      <w:bookmarkStart w:id="684" w:name="_Toc127151562"/>
      <w:r/>
      <w:bookmarkStart w:id="685" w:name="_Toc150480798"/>
      <w:r/>
      <w:bookmarkStart w:id="686" w:name="_Toc142311062"/>
      <w:r/>
      <w:bookmarkStart w:id="687" w:name="_Toc226309806"/>
      <w:r/>
      <w:bookmarkStart w:id="688" w:name="_Toc264969252"/>
      <w:r/>
      <w:bookmarkStart w:id="689" w:name="_Toc305158904"/>
      <w:r/>
      <w:bookmarkStart w:id="690" w:name="_Toc195842927"/>
      <w:r/>
      <w:bookmarkStart w:id="691" w:name="_Toc226965752"/>
      <w:r/>
      <w:bookmarkStart w:id="692" w:name="_Toc150774765"/>
      <w:r/>
      <w:bookmarkStart w:id="693" w:name="_Toc226337258"/>
      <w:r/>
      <w:bookmarkStart w:id="694" w:name="_Toc265228400"/>
      <w:r/>
      <w:bookmarkStart w:id="695" w:name="_Toc150774764"/>
      <w:r/>
      <w:bookmarkStart w:id="696" w:name="_Toc127151561"/>
      <w:r/>
      <w:bookmarkStart w:id="697" w:name="_Toc226309805"/>
      <w:r/>
      <w:bookmarkStart w:id="698" w:name="_Toc142311061"/>
      <w:r/>
      <w:bookmarkStart w:id="699" w:name="_Toc226965834"/>
      <w:r/>
      <w:bookmarkStart w:id="700" w:name="_Toc265228399"/>
      <w:r/>
      <w:bookmarkStart w:id="701" w:name="_Toc226337257"/>
      <w:r/>
      <w:bookmarkStart w:id="702" w:name="_Toc264969251"/>
      <w:r/>
      <w:bookmarkStart w:id="703" w:name="_Toc226965751"/>
      <w:r/>
      <w:bookmarkStart w:id="704" w:name="_Toc305158829"/>
      <w:r/>
      <w:bookmarkStart w:id="705" w:name="_Toc195842926"/>
      <w:r/>
      <w:bookmarkStart w:id="706" w:name="_Toc305158903"/>
      <w:r/>
      <w:bookmarkStart w:id="707" w:name="_Toc150480797"/>
      <w:r>
        <w:rPr>
          <w:color w:val="000000"/>
          <w:sz w:val="24"/>
          <w:szCs w:val="20"/>
          <w:highlight w:val="none"/>
        </w:rPr>
      </w:r>
      <w:r/>
    </w:p>
    <w:p>
      <w:pPr>
        <w:pStyle w:val="968"/>
        <w:tabs>
          <w:tab w:val="left" w:pos="567" w:leader="none"/>
        </w:tabs>
        <w:rPr>
          <w:color w:val="000000"/>
          <w:sz w:val="24"/>
          <w:szCs w:val="20"/>
          <w:highlight w:val="none"/>
        </w:rPr>
      </w:pPr>
      <w:r>
        <w:rPr>
          <w:color w:val="000000"/>
          <w:sz w:val="24"/>
          <w:szCs w:val="20"/>
          <w:highlight w:val="none"/>
        </w:rPr>
      </w:r>
      <w:r/>
    </w:p>
    <w:p>
      <w:pPr>
        <w:pStyle w:val="937"/>
        <w:rPr>
          <w:color w:val="000000"/>
          <w:sz w:val="24"/>
          <w:szCs w:val="20"/>
          <w:highlight w:val="none"/>
        </w:rPr>
      </w:pPr>
      <w:r>
        <w:rPr>
          <w:color w:val="000000"/>
          <w:sz w:val="24"/>
          <w:szCs w:val="20"/>
          <w:highlight w:val="none"/>
        </w:rPr>
      </w:r>
      <w:r/>
    </w:p>
    <w:p>
      <w:pPr>
        <w:pStyle w:val="968"/>
        <w:tabs>
          <w:tab w:val="left" w:pos="567" w:leader="none"/>
        </w:tabs>
        <w:rPr>
          <w:color w:val="000000"/>
          <w:sz w:val="24"/>
          <w:szCs w:val="20"/>
          <w:highlight w:val="none"/>
        </w:rPr>
      </w:pPr>
      <w:r>
        <w:rPr>
          <w:color w:val="000000"/>
          <w:sz w:val="24"/>
          <w:szCs w:val="20"/>
          <w:highlight w:val="none"/>
        </w:rPr>
      </w:r>
      <w:r/>
    </w:p>
    <w:p>
      <w:pPr>
        <w:pStyle w:val="937"/>
        <w:rPr>
          <w:color w:val="000000"/>
          <w:sz w:val="24"/>
          <w:szCs w:val="20"/>
          <w:highlight w:val="none"/>
        </w:rPr>
      </w:pPr>
      <w:r>
        <w:rPr>
          <w:color w:val="000000"/>
          <w:sz w:val="24"/>
          <w:szCs w:val="20"/>
          <w:highlight w:val="none"/>
        </w:rPr>
      </w:r>
      <w:r/>
    </w:p>
    <w:p>
      <w:pPr>
        <w:pStyle w:val="968"/>
        <w:tabs>
          <w:tab w:val="left" w:pos="567" w:leader="none"/>
        </w:tabs>
        <w:rPr>
          <w:color w:val="000000"/>
          <w:sz w:val="24"/>
          <w:szCs w:val="20"/>
          <w:highlight w:val="none"/>
        </w:rPr>
      </w:pPr>
      <w:r>
        <w:rPr>
          <w:color w:val="000000"/>
          <w:sz w:val="24"/>
          <w:szCs w:val="20"/>
          <w:highlight w:val="none"/>
        </w:rPr>
      </w:r>
      <w:r/>
    </w:p>
    <w:p>
      <w:pPr>
        <w:pStyle w:val="937"/>
        <w:rPr>
          <w:color w:val="000000"/>
          <w:sz w:val="24"/>
          <w:szCs w:val="20"/>
          <w:highlight w:val="none"/>
        </w:rPr>
      </w:pPr>
      <w:r>
        <w:rPr>
          <w:color w:val="000000"/>
          <w:sz w:val="24"/>
          <w:szCs w:val="20"/>
          <w:highlight w:val="none"/>
        </w:rPr>
      </w:r>
      <w:r/>
    </w:p>
    <w:p>
      <w:pPr>
        <w:pStyle w:val="968"/>
        <w:numPr>
          <w:ilvl w:val="0"/>
          <w:numId w:val="0"/>
        </w:numPr>
        <w:ind w:left="420"/>
        <w:tabs>
          <w:tab w:val="left" w:pos="567" w:leader="none"/>
        </w:tabs>
        <w:rPr>
          <w:rFonts w:hint="eastAsia"/>
          <w:color w:val="000000"/>
          <w:sz w:val="24"/>
          <w:szCs w:val="20"/>
          <w:highlight w:val="none"/>
          <w:lang w:val="en-US" w:eastAsia="zh-CN"/>
        </w:rPr>
      </w:pPr>
      <w:r>
        <w:rPr>
          <w:color w:val="000000"/>
          <w:sz w:val="24"/>
          <w:szCs w:val="20"/>
          <w:highlight w:val="none"/>
        </w:rPr>
        <w:br w:type="page" w:clear="all"/>
      </w:r>
      <w:r>
        <w:rPr>
          <w:rFonts w:hint="eastAsia"/>
          <w:color w:val="000000"/>
          <w:sz w:val="24"/>
          <w:szCs w:val="20"/>
          <w:highlight w:val="none"/>
          <w:lang w:val="en-US" w:eastAsia="zh-CN"/>
        </w:rPr>
        <w:t xml:space="preserve">7 分项报价表</w:t>
      </w:r>
      <w:r>
        <w:rPr>
          <w:rFonts w:hint="eastAsia"/>
          <w:color w:val="000000"/>
          <w:sz w:val="24"/>
          <w:szCs w:val="20"/>
          <w:highlight w:val="none"/>
          <w:lang w:val="en-US" w:eastAsia="zh-CN"/>
        </w:rPr>
      </w:r>
      <w:r/>
    </w:p>
    <w:p>
      <w:pPr>
        <w:pStyle w:val="968"/>
        <w:numPr>
          <w:ilvl w:val="0"/>
          <w:numId w:val="0"/>
        </w:numPr>
        <w:tabs>
          <w:tab w:val="left" w:pos="567" w:leader="none"/>
        </w:tabs>
        <w:rPr>
          <w:color w:val="000000"/>
          <w:sz w:val="24"/>
          <w:szCs w:val="20"/>
          <w:highlight w:val="none"/>
          <w:lang w:val="en-US" w:eastAsia="zh-CN"/>
        </w:rPr>
      </w:pPr>
      <w:r>
        <w:rPr>
          <w:color w:val="000000"/>
          <w:sz w:val="24"/>
          <w:szCs w:val="20"/>
          <w:highlight w:val="none"/>
          <w:lang w:val="en-US" w:eastAsia="zh-CN"/>
        </w:rPr>
      </w:r>
      <w:r/>
    </w:p>
    <w:p>
      <w:pPr>
        <w:pStyle w:val="937"/>
        <w:rPr>
          <w:color w:val="000000"/>
          <w:sz w:val="24"/>
          <w:szCs w:val="20"/>
          <w:highlight w:val="none"/>
        </w:rPr>
      </w:pPr>
      <w:r>
        <w:rPr>
          <w:color w:val="000000"/>
          <w:sz w:val="24"/>
          <w:szCs w:val="20"/>
          <w:highlight w:val="none"/>
        </w:rPr>
      </w:r>
      <w:r/>
    </w:p>
    <w:p>
      <w:pPr>
        <w:pStyle w:val="968"/>
        <w:jc w:val="center"/>
        <w:tabs>
          <w:tab w:val="left" w:pos="567" w:leader="none"/>
        </w:tabs>
        <w:rPr>
          <w:rFonts w:hint="eastAsia" w:ascii="Times New Roman" w:hAnsi="Times New Roman" w:eastAsia="宋体" w:cs="Times New Roman"/>
          <w:b/>
          <w:color w:val="000000"/>
          <w:sz w:val="36"/>
          <w:szCs w:val="36"/>
          <w:highlight w:val="none"/>
          <w:lang w:val="en-US" w:eastAsia="zh-CN" w:bidi="ar-SA"/>
        </w:rPr>
      </w:pPr>
      <w:r>
        <w:rPr>
          <w:rFonts w:hint="eastAsia" w:ascii="Times New Roman" w:hAnsi="Times New Roman" w:eastAsia="宋体" w:cs="Times New Roman"/>
          <w:b/>
          <w:color w:val="000000"/>
          <w:sz w:val="36"/>
          <w:szCs w:val="36"/>
          <w:highlight w:val="none"/>
          <w:lang w:val="en-US" w:eastAsia="zh-CN" w:bidi="ar-SA"/>
        </w:rPr>
        <w:t xml:space="preserve">分项报价表</w:t>
      </w:r>
      <w:r>
        <w:rPr>
          <w:rFonts w:hint="eastAsia" w:ascii="Times New Roman" w:hAnsi="Times New Roman" w:eastAsia="宋体" w:cs="Times New Roman"/>
          <w:b/>
          <w:color w:val="000000"/>
          <w:sz w:val="36"/>
          <w:szCs w:val="36"/>
          <w:highlight w:val="none"/>
          <w:lang w:val="en-US" w:eastAsia="zh-CN" w:bidi="ar-SA"/>
        </w:rPr>
      </w:r>
      <w:r/>
    </w:p>
    <w:p>
      <w:pPr>
        <w:pStyle w:val="937"/>
        <w:rPr>
          <w:color w:val="000000"/>
          <w:sz w:val="24"/>
          <w:szCs w:val="20"/>
          <w:highlight w:val="none"/>
        </w:rPr>
      </w:pPr>
      <w:r>
        <w:rPr>
          <w:color w:val="000000"/>
          <w:sz w:val="24"/>
          <w:szCs w:val="20"/>
          <w:highlight w:val="none"/>
        </w:rPr>
      </w:r>
      <w:r/>
    </w:p>
    <w:p>
      <w:pPr>
        <w:pStyle w:val="937"/>
        <w:jc w:val="center"/>
        <w:spacing w:line="260" w:lineRule="exact"/>
        <w:rPr>
          <w:color w:val="000000"/>
          <w:sz w:val="36"/>
          <w:szCs w:val="36"/>
        </w:rPr>
      </w:pPr>
      <w:r>
        <w:rPr>
          <w:color w:val="000000"/>
          <w:sz w:val="36"/>
          <w:szCs w:val="36"/>
        </w:rPr>
      </w:r>
      <w:r/>
    </w:p>
    <w:p>
      <w:pPr>
        <w:pStyle w:val="937"/>
        <w:jc w:val="center"/>
        <w:rPr>
          <w:b/>
          <w:color w:val="000000"/>
          <w:sz w:val="28"/>
          <w:szCs w:val="36"/>
        </w:rPr>
      </w:pPr>
      <w:r>
        <w:rPr>
          <w:b/>
          <w:color w:val="000000"/>
          <w:sz w:val="28"/>
          <w:szCs w:val="36"/>
        </w:rPr>
      </w:r>
      <w:r/>
    </w:p>
    <w:p>
      <w:pPr>
        <w:pStyle w:val="937"/>
        <w:jc w:val="center"/>
        <w:rPr>
          <w:b/>
          <w:color w:val="000000"/>
          <w:sz w:val="36"/>
          <w:szCs w:val="36"/>
        </w:rPr>
      </w:pPr>
      <w:r>
        <w:rPr>
          <w:rFonts w:hint="eastAsia"/>
          <w:b/>
          <w:color w:val="000000"/>
          <w:sz w:val="28"/>
          <w:szCs w:val="36"/>
        </w:rPr>
        <w:t xml:space="preserve">详见工程量清单</w:t>
      </w:r>
      <w:r>
        <w:rPr>
          <w:b/>
          <w:color w:val="000000"/>
          <w:sz w:val="36"/>
          <w:szCs w:val="36"/>
        </w:rPr>
      </w:r>
      <w:r/>
    </w:p>
    <w:p>
      <w:pPr>
        <w:pStyle w:val="937"/>
        <w:jc w:val="left"/>
        <w:tabs>
          <w:tab w:val="left" w:pos="1800" w:leader="none"/>
          <w:tab w:val="left" w:pos="5580" w:leader="none"/>
        </w:tabs>
        <w:rPr>
          <w:rFonts w:hint="eastAsia"/>
          <w:color w:val="000000"/>
          <w:sz w:val="24"/>
        </w:rPr>
      </w:pPr>
      <w:r>
        <w:rPr>
          <w:rFonts w:hint="eastAsia"/>
          <w:color w:val="000000"/>
          <w:sz w:val="24"/>
        </w:rPr>
      </w:r>
      <w:r/>
    </w:p>
    <w:p>
      <w:pPr>
        <w:pStyle w:val="93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37"/>
        <w:jc w:val="left"/>
        <w:tabs>
          <w:tab w:val="left" w:pos="1800" w:leader="none"/>
          <w:tab w:val="left" w:pos="5580" w:leader="none"/>
        </w:tabs>
        <w:rPr>
          <w:rFonts w:ascii="宋体" w:hAnsi="宋体"/>
          <w:color w:val="000000"/>
          <w:sz w:val="24"/>
        </w:rPr>
      </w:pPr>
      <w:r>
        <w:rPr>
          <w:rFonts w:ascii="宋体" w:hAnsi="宋体"/>
          <w:color w:val="000000"/>
          <w:sz w:val="24"/>
        </w:rPr>
      </w:r>
      <w:r/>
    </w:p>
    <w:p>
      <w:pPr>
        <w:pStyle w:val="937"/>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937"/>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r>
      <w:r/>
    </w:p>
    <w:p>
      <w:pPr>
        <w:pStyle w:val="937"/>
        <w:jc w:val="left"/>
        <w:keepLines w:val="0"/>
        <w:keepNext w:val="0"/>
        <w:pageBreakBefore w:val="0"/>
        <w:spacing w:line="360" w:lineRule="auto"/>
        <w:widowControl w:val="off"/>
        <w:tabs>
          <w:tab w:val="left" w:pos="1800" w:leader="none"/>
          <w:tab w:val="left" w:pos="5580" w:leader="none"/>
        </w:tabs>
        <w:rPr>
          <w:rFonts w:ascii="宋体" w:hAnsi="宋体" w:eastAsia="宋体" w:cs="Times New Roman"/>
          <w:color w:val="000000"/>
          <w:sz w:val="24"/>
        </w:rPr>
      </w:pPr>
      <w:r>
        <w:rPr>
          <w:rFonts w:ascii="宋体" w:hAnsi="宋体" w:eastAsia="宋体" w:cs="Times New Roman"/>
          <w:color w:val="000000"/>
          <w:sz w:val="24"/>
        </w:rPr>
        <w:t xml:space="preserve">注：</w:t>
      </w:r>
      <w:r>
        <w:rPr>
          <w:rFonts w:hint="eastAsia" w:ascii="宋体" w:hAnsi="宋体" w:eastAsia="宋体" w:cs="Times New Roman"/>
          <w:color w:val="000000"/>
          <w:sz w:val="24"/>
          <w:lang w:val="en-US" w:eastAsia="zh-CN"/>
        </w:rPr>
        <w:t xml:space="preserve">1、</w:t>
      </w:r>
      <w:r>
        <w:rPr>
          <w:rFonts w:ascii="宋体" w:hAnsi="宋体" w:eastAsia="宋体" w:cs="Times New Roman"/>
          <w:color w:val="000000"/>
          <w:sz w:val="24"/>
        </w:rPr>
        <w:t xml:space="preserve">如果不提供分项报价将视为没有实质性响应磋商文件。</w:t>
      </w:r>
      <w:r>
        <w:rPr>
          <w:rFonts w:ascii="宋体" w:hAnsi="宋体" w:eastAsia="宋体" w:cs="Times New Roman"/>
          <w:color w:val="000000"/>
          <w:sz w:val="24"/>
        </w:rPr>
      </w:r>
      <w:r/>
    </w:p>
    <w:p>
      <w:pPr>
        <w:pStyle w:val="937"/>
        <w:jc w:val="left"/>
        <w:keepLines w:val="0"/>
        <w:keepNext w:val="0"/>
        <w:pageBreakBefore w:val="0"/>
        <w:spacing w:line="360" w:lineRule="auto"/>
        <w:widowControl w:val="off"/>
        <w:tabs>
          <w:tab w:val="left" w:pos="1800" w:leader="none"/>
          <w:tab w:val="left" w:pos="5580" w:leader="none"/>
        </w:tabs>
        <w:rPr>
          <w:rFonts w:ascii="宋体" w:hAnsi="宋体"/>
          <w:color w:val="000000"/>
          <w:sz w:val="24"/>
          <w:lang w:val="zh-CN"/>
        </w:rPr>
      </w:pPr>
      <w:r>
        <w:rPr>
          <w:rFonts w:ascii="宋体" w:hAnsi="宋体" w:eastAsia="宋体" w:cs="Times New Roman"/>
          <w:color w:val="000000"/>
          <w:sz w:val="24"/>
          <w:lang w:val="zh-CN"/>
        </w:rPr>
        <w:t xml:space="preserve"> </w:t>
      </w:r>
      <w:r>
        <w:rPr>
          <w:rFonts w:ascii="宋体" w:hAnsi="宋体" w:eastAsia="宋体" w:cs="Times New Roman"/>
          <w:color w:val="000000"/>
          <w:sz w:val="24"/>
          <w:highlight w:val="none"/>
          <w:lang w:val="zh-CN"/>
        </w:rPr>
        <w:t xml:space="preserve">   </w:t>
      </w:r>
      <w:r>
        <w:rPr>
          <w:rFonts w:ascii="宋体" w:hAnsi="宋体"/>
          <w:color w:val="000000"/>
          <w:sz w:val="24"/>
          <w:lang w:val="zh-CN"/>
        </w:rPr>
      </w:r>
      <w:r/>
    </w:p>
    <w:p>
      <w:pPr>
        <w:pStyle w:val="937"/>
        <w:spacing w:before="25" w:after="25" w:line="360" w:lineRule="auto"/>
        <w:rPr>
          <w:rFonts w:ascii="宋体" w:hAnsi="宋体"/>
          <w:color w:val="000000"/>
          <w:sz w:val="24"/>
        </w:rPr>
      </w:pPr>
      <w:r>
        <w:rPr>
          <w:rFonts w:ascii="宋体" w:hAnsi="宋体"/>
          <w:color w:val="000000"/>
          <w:sz w:val="24"/>
        </w:rPr>
      </w:r>
      <w:r/>
    </w:p>
    <w:p>
      <w:pPr>
        <w:pStyle w:val="937"/>
        <w:spacing w:before="25" w:after="25" w:line="360" w:lineRule="auto"/>
        <w:rPr>
          <w:rFonts w:ascii="宋体" w:hAnsi="宋体"/>
          <w:color w:val="000000"/>
          <w:sz w:val="24"/>
        </w:rPr>
      </w:pPr>
      <w:r>
        <w:rPr>
          <w:rFonts w:ascii="宋体" w:hAnsi="宋体"/>
          <w:color w:val="000000"/>
          <w:sz w:val="24"/>
        </w:rPr>
      </w:r>
      <w:r/>
    </w:p>
    <w:p>
      <w:pPr>
        <w:pStyle w:val="937"/>
        <w:spacing w:before="25" w:after="25" w:line="360" w:lineRule="auto"/>
        <w:rPr>
          <w:rFonts w:ascii="宋体" w:hAnsi="宋体"/>
          <w:color w:val="000000"/>
          <w:sz w:val="24"/>
        </w:rPr>
      </w:pPr>
      <w:r>
        <w:rPr>
          <w:rFonts w:ascii="宋体" w:hAnsi="宋体"/>
          <w:color w:val="000000"/>
          <w:sz w:val="24"/>
        </w:rPr>
      </w:r>
      <w:r/>
    </w:p>
    <w:p>
      <w:pPr>
        <w:pStyle w:val="937"/>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：____________</w:t>
      </w:r>
      <w:r>
        <w:rPr>
          <w:rFonts w:ascii="宋体" w:hAnsi="宋体"/>
          <w:color w:val="000000"/>
          <w:sz w:val="24"/>
          <w:lang w:val="zh-CN"/>
        </w:rPr>
      </w:r>
      <w:r/>
    </w:p>
    <w:p>
      <w:pPr>
        <w:pStyle w:val="968"/>
        <w:tabs>
          <w:tab w:val="left" w:pos="567" w:leader="none"/>
        </w:tabs>
        <w:rPr>
          <w:color w:val="000000"/>
          <w:sz w:val="24"/>
          <w:szCs w:val="20"/>
          <w:highlight w:val="none"/>
        </w:rPr>
      </w:pPr>
      <w:r>
        <w:rPr>
          <w:rFonts w:ascii="宋体" w:hAnsi="宋体"/>
          <w:color w:val="000000"/>
          <w:sz w:val="24"/>
          <w:szCs w:val="20"/>
        </w:rPr>
        <w:t xml:space="preserve">日期：_____年______月______日   </w:t>
      </w:r>
      <w:r>
        <w:rPr>
          <w:rFonts w:ascii="宋体" w:hAnsi="宋体"/>
          <w:color w:val="000000"/>
          <w:sz w:val="24"/>
          <w:szCs w:val="20"/>
        </w:rPr>
        <w:br w:type="page" w:clear="all"/>
      </w:r>
      <w:r>
        <w:rPr>
          <w:color w:val="000000"/>
          <w:sz w:val="24"/>
          <w:szCs w:val="20"/>
          <w:highlight w:val="none"/>
        </w:rPr>
      </w:r>
      <w:r/>
    </w:p>
    <w:p>
      <w:pPr>
        <w:pStyle w:val="937"/>
        <w:spacing w:line="360" w:lineRule="auto"/>
        <w:rPr>
          <w:color w:val="000000"/>
          <w:sz w:val="24"/>
          <w:szCs w:val="20"/>
          <w:highlight w:val="none"/>
        </w:rPr>
        <w:outlineLvl w:val="2"/>
      </w:pPr>
      <w:r>
        <w:rPr>
          <w:color w:val="000000"/>
          <w:sz w:val="24"/>
          <w:szCs w:val="20"/>
          <w:highlight w:val="none"/>
        </w:rPr>
      </w:r>
      <w:r/>
    </w:p>
    <w:p>
      <w:pPr>
        <w:pStyle w:val="937"/>
        <w:spacing w:line="360" w:lineRule="auto"/>
        <w:rPr>
          <w:color w:val="000000"/>
          <w:sz w:val="24"/>
          <w:szCs w:val="20"/>
          <w:highlight w:val="none"/>
        </w:rPr>
        <w:outlineLvl w:val="2"/>
      </w:pPr>
      <w:r>
        <w:rPr>
          <w:rFonts w:hint="eastAsia"/>
          <w:color w:val="000000"/>
          <w:sz w:val="24"/>
          <w:szCs w:val="20"/>
          <w:highlight w:val="none"/>
          <w:lang w:val="en-US" w:eastAsia="zh-CN"/>
        </w:rPr>
        <w:t xml:space="preserve">8</w:t>
      </w:r>
      <w:r>
        <w:rPr>
          <w:color w:val="000000"/>
          <w:sz w:val="24"/>
          <w:szCs w:val="20"/>
          <w:highlight w:val="none"/>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Pr>
          <w:color w:val="000000"/>
          <w:sz w:val="24"/>
          <w:szCs w:val="20"/>
          <w:highlight w:val="none"/>
        </w:rPr>
        <w:t xml:space="preserve">（实质性格式）</w:t>
      </w:r>
      <w:r>
        <w:rPr>
          <w:color w:val="000000"/>
          <w:sz w:val="24"/>
          <w:szCs w:val="20"/>
          <w:highlight w:val="none"/>
        </w:rPr>
      </w:r>
      <w:r/>
    </w:p>
    <w:p>
      <w:pPr>
        <w:pStyle w:val="937"/>
        <w:spacing w:line="360" w:lineRule="auto"/>
        <w:rPr>
          <w:color w:val="000000"/>
          <w:sz w:val="24"/>
          <w:szCs w:val="20"/>
          <w:highlight w:val="none"/>
        </w:rPr>
      </w:pPr>
      <w:r>
        <w:rPr>
          <w:color w:val="000000"/>
          <w:sz w:val="24"/>
          <w:szCs w:val="20"/>
          <w:highlight w:val="none"/>
        </w:rPr>
      </w:r>
      <w:r/>
    </w:p>
    <w:p>
      <w:pPr>
        <w:pStyle w:val="937"/>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937"/>
        <w:jc w:val="center"/>
        <w:rPr>
          <w:color w:val="000000"/>
          <w:sz w:val="36"/>
          <w:szCs w:val="36"/>
          <w:highlight w:val="none"/>
        </w:rPr>
      </w:pPr>
      <w:r>
        <w:rPr>
          <w:color w:val="000000"/>
          <w:sz w:val="36"/>
          <w:szCs w:val="36"/>
          <w:highlight w:val="none"/>
        </w:rPr>
      </w:r>
      <w:r/>
    </w:p>
    <w:p>
      <w:pPr>
        <w:pStyle w:val="937"/>
        <w:spacing w:line="360" w:lineRule="auto"/>
        <w:rPr>
          <w:color w:val="000000"/>
          <w:sz w:val="24"/>
          <w:szCs w:val="20"/>
          <w:highlight w:val="none"/>
        </w:rPr>
      </w:pPr>
      <w:r>
        <w:rPr>
          <w:color w:val="000000"/>
          <w:sz w:val="24"/>
          <w:szCs w:val="20"/>
          <w:highlight w:val="none"/>
        </w:rPr>
      </w:r>
      <w:r/>
    </w:p>
    <w:p>
      <w:pPr>
        <w:pStyle w:val="937"/>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937"/>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93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93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93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937"/>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937"/>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937"/>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937"/>
              <w:jc w:val="center"/>
              <w:rPr>
                <w:color w:val="000000"/>
                <w:sz w:val="24"/>
                <w:highlight w:val="none"/>
              </w:rPr>
            </w:pPr>
            <w:r>
              <w:rPr>
                <w:color w:val="000000"/>
                <w:sz w:val="24"/>
                <w:highlight w:val="none"/>
              </w:rPr>
              <w:t xml:space="preserve">偏离情况</w:t>
            </w:r>
            <w:r>
              <w:rPr>
                <w:color w:val="000000"/>
                <w:sz w:val="24"/>
                <w:highlight w:val="none"/>
              </w:rPr>
            </w:r>
            <w:r/>
          </w:p>
          <w:p>
            <w:pPr>
              <w:pStyle w:val="937"/>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93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937"/>
              <w:jc w:val="center"/>
              <w:rPr>
                <w:color w:val="000000"/>
                <w:sz w:val="24"/>
                <w:highlight w:val="none"/>
              </w:rPr>
            </w:pPr>
            <w:r>
              <w:rPr>
                <w:color w:val="000000"/>
                <w:sz w:val="24"/>
                <w:highlight w:val="none"/>
              </w:rPr>
            </w:r>
            <w:r/>
          </w:p>
        </w:tc>
        <w:tc>
          <w:tcPr>
            <w:tcW w:w="1301" w:type="dxa"/>
            <w:vAlign w:val="center"/>
            <w:textDirection w:val="lrTb"/>
            <w:noWrap w:val="false"/>
          </w:tcPr>
          <w:p>
            <w:pPr>
              <w:pStyle w:val="937"/>
              <w:jc w:val="center"/>
              <w:rPr>
                <w:color w:val="000000"/>
                <w:sz w:val="24"/>
                <w:highlight w:val="none"/>
              </w:rPr>
            </w:pPr>
            <w:r>
              <w:rPr>
                <w:color w:val="000000"/>
                <w:sz w:val="24"/>
                <w:highlight w:val="none"/>
              </w:rPr>
            </w:r>
            <w:r/>
          </w:p>
        </w:tc>
        <w:tc>
          <w:tcPr>
            <w:tcW w:w="2007" w:type="dxa"/>
            <w:vAlign w:val="center"/>
            <w:textDirection w:val="lrTb"/>
            <w:noWrap w:val="false"/>
          </w:tcPr>
          <w:p>
            <w:pPr>
              <w:pStyle w:val="937"/>
              <w:jc w:val="center"/>
              <w:rPr>
                <w:color w:val="000000"/>
                <w:sz w:val="24"/>
                <w:highlight w:val="none"/>
              </w:rPr>
            </w:pPr>
            <w:r>
              <w:rPr>
                <w:color w:val="000000"/>
                <w:sz w:val="24"/>
                <w:highlight w:val="none"/>
              </w:rPr>
            </w:r>
            <w:r/>
          </w:p>
        </w:tc>
        <w:tc>
          <w:tcPr>
            <w:tcW w:w="2008" w:type="dxa"/>
            <w:vAlign w:val="center"/>
            <w:textDirection w:val="lrTb"/>
            <w:noWrap w:val="false"/>
          </w:tcPr>
          <w:p>
            <w:pPr>
              <w:pStyle w:val="937"/>
              <w:jc w:val="center"/>
              <w:rPr>
                <w:color w:val="000000"/>
                <w:sz w:val="24"/>
                <w:highlight w:val="none"/>
              </w:rPr>
            </w:pPr>
            <w:r>
              <w:rPr>
                <w:color w:val="000000"/>
                <w:sz w:val="24"/>
                <w:highlight w:val="none"/>
              </w:rPr>
            </w:r>
            <w:r/>
          </w:p>
        </w:tc>
        <w:tc>
          <w:tcPr>
            <w:tcW w:w="2458" w:type="dxa"/>
            <w:vAlign w:val="center"/>
            <w:textDirection w:val="lrTb"/>
            <w:noWrap w:val="false"/>
          </w:tcPr>
          <w:p>
            <w:pPr>
              <w:pStyle w:val="937"/>
              <w:jc w:val="center"/>
              <w:rPr>
                <w:color w:val="000000"/>
                <w:sz w:val="24"/>
                <w:highlight w:val="none"/>
              </w:rPr>
            </w:pPr>
            <w:r>
              <w:rPr>
                <w:color w:val="000000"/>
                <w:sz w:val="24"/>
                <w:highlight w:val="none"/>
              </w:rPr>
            </w:r>
            <w:r/>
          </w:p>
        </w:tc>
        <w:tc>
          <w:tcPr>
            <w:tcW w:w="788"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7"/>
              <w:jc w:val="center"/>
              <w:rPr>
                <w:color w:val="000000"/>
                <w:sz w:val="24"/>
                <w:highlight w:val="none"/>
              </w:rPr>
            </w:pPr>
            <w:r>
              <w:rPr>
                <w:color w:val="000000"/>
                <w:sz w:val="24"/>
                <w:highlight w:val="none"/>
              </w:rPr>
            </w:r>
            <w:r/>
          </w:p>
        </w:tc>
        <w:tc>
          <w:tcPr>
            <w:tcW w:w="1301" w:type="dxa"/>
            <w:vAlign w:val="center"/>
            <w:textDirection w:val="lrTb"/>
            <w:noWrap w:val="false"/>
          </w:tcPr>
          <w:p>
            <w:pPr>
              <w:pStyle w:val="937"/>
              <w:jc w:val="center"/>
              <w:rPr>
                <w:color w:val="000000"/>
                <w:sz w:val="24"/>
                <w:highlight w:val="none"/>
              </w:rPr>
            </w:pPr>
            <w:r>
              <w:rPr>
                <w:color w:val="000000"/>
                <w:sz w:val="24"/>
                <w:highlight w:val="none"/>
              </w:rPr>
            </w:r>
            <w:r/>
          </w:p>
        </w:tc>
        <w:tc>
          <w:tcPr>
            <w:tcW w:w="2007" w:type="dxa"/>
            <w:vAlign w:val="center"/>
            <w:textDirection w:val="lrTb"/>
            <w:noWrap w:val="false"/>
          </w:tcPr>
          <w:p>
            <w:pPr>
              <w:pStyle w:val="937"/>
              <w:jc w:val="center"/>
              <w:rPr>
                <w:color w:val="000000"/>
                <w:sz w:val="24"/>
                <w:highlight w:val="none"/>
              </w:rPr>
            </w:pPr>
            <w:r>
              <w:rPr>
                <w:color w:val="000000"/>
                <w:sz w:val="24"/>
                <w:highlight w:val="none"/>
              </w:rPr>
            </w:r>
            <w:r/>
          </w:p>
        </w:tc>
        <w:tc>
          <w:tcPr>
            <w:tcW w:w="2008" w:type="dxa"/>
            <w:vAlign w:val="center"/>
            <w:textDirection w:val="lrTb"/>
            <w:noWrap w:val="false"/>
          </w:tcPr>
          <w:p>
            <w:pPr>
              <w:pStyle w:val="937"/>
              <w:jc w:val="center"/>
              <w:rPr>
                <w:color w:val="000000"/>
                <w:sz w:val="24"/>
                <w:highlight w:val="none"/>
              </w:rPr>
            </w:pPr>
            <w:r>
              <w:rPr>
                <w:color w:val="000000"/>
                <w:sz w:val="24"/>
                <w:highlight w:val="none"/>
              </w:rPr>
            </w:r>
            <w:r/>
          </w:p>
        </w:tc>
        <w:tc>
          <w:tcPr>
            <w:tcW w:w="2458" w:type="dxa"/>
            <w:vAlign w:val="center"/>
            <w:textDirection w:val="lrTb"/>
            <w:noWrap w:val="false"/>
          </w:tcPr>
          <w:p>
            <w:pPr>
              <w:pStyle w:val="937"/>
              <w:jc w:val="center"/>
              <w:rPr>
                <w:color w:val="000000"/>
                <w:sz w:val="24"/>
                <w:highlight w:val="none"/>
              </w:rPr>
            </w:pPr>
            <w:r>
              <w:rPr>
                <w:color w:val="000000"/>
                <w:sz w:val="24"/>
                <w:highlight w:val="none"/>
              </w:rPr>
            </w:r>
            <w:r/>
          </w:p>
        </w:tc>
        <w:tc>
          <w:tcPr>
            <w:tcW w:w="788"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7"/>
              <w:jc w:val="center"/>
              <w:rPr>
                <w:color w:val="000000"/>
                <w:sz w:val="24"/>
                <w:highlight w:val="none"/>
              </w:rPr>
            </w:pPr>
            <w:r>
              <w:rPr>
                <w:color w:val="000000"/>
                <w:sz w:val="24"/>
                <w:highlight w:val="none"/>
              </w:rPr>
            </w:r>
            <w:r/>
          </w:p>
        </w:tc>
        <w:tc>
          <w:tcPr>
            <w:tcW w:w="1301" w:type="dxa"/>
            <w:vAlign w:val="center"/>
            <w:textDirection w:val="lrTb"/>
            <w:noWrap w:val="false"/>
          </w:tcPr>
          <w:p>
            <w:pPr>
              <w:pStyle w:val="937"/>
              <w:jc w:val="center"/>
              <w:rPr>
                <w:color w:val="000000"/>
                <w:sz w:val="24"/>
                <w:highlight w:val="none"/>
              </w:rPr>
            </w:pPr>
            <w:r>
              <w:rPr>
                <w:color w:val="000000"/>
                <w:sz w:val="24"/>
                <w:highlight w:val="none"/>
              </w:rPr>
            </w:r>
            <w:r/>
          </w:p>
        </w:tc>
        <w:tc>
          <w:tcPr>
            <w:tcW w:w="2007" w:type="dxa"/>
            <w:vAlign w:val="center"/>
            <w:textDirection w:val="lrTb"/>
            <w:noWrap w:val="false"/>
          </w:tcPr>
          <w:p>
            <w:pPr>
              <w:pStyle w:val="937"/>
              <w:jc w:val="center"/>
              <w:rPr>
                <w:color w:val="000000"/>
                <w:sz w:val="24"/>
                <w:highlight w:val="none"/>
              </w:rPr>
            </w:pPr>
            <w:r>
              <w:rPr>
                <w:color w:val="000000"/>
                <w:sz w:val="24"/>
                <w:highlight w:val="none"/>
              </w:rPr>
            </w:r>
            <w:r/>
          </w:p>
        </w:tc>
        <w:tc>
          <w:tcPr>
            <w:tcW w:w="2008" w:type="dxa"/>
            <w:vAlign w:val="center"/>
            <w:textDirection w:val="lrTb"/>
            <w:noWrap w:val="false"/>
          </w:tcPr>
          <w:p>
            <w:pPr>
              <w:pStyle w:val="937"/>
              <w:jc w:val="center"/>
              <w:rPr>
                <w:color w:val="000000"/>
                <w:sz w:val="24"/>
                <w:highlight w:val="none"/>
              </w:rPr>
            </w:pPr>
            <w:r>
              <w:rPr>
                <w:color w:val="000000"/>
                <w:sz w:val="24"/>
                <w:highlight w:val="none"/>
              </w:rPr>
            </w:r>
            <w:r/>
          </w:p>
        </w:tc>
        <w:tc>
          <w:tcPr>
            <w:tcW w:w="2458" w:type="dxa"/>
            <w:vAlign w:val="center"/>
            <w:textDirection w:val="lrTb"/>
            <w:noWrap w:val="false"/>
          </w:tcPr>
          <w:p>
            <w:pPr>
              <w:pStyle w:val="937"/>
              <w:jc w:val="center"/>
              <w:rPr>
                <w:color w:val="000000"/>
                <w:sz w:val="24"/>
                <w:highlight w:val="none"/>
              </w:rPr>
            </w:pPr>
            <w:r>
              <w:rPr>
                <w:color w:val="000000"/>
                <w:sz w:val="24"/>
                <w:highlight w:val="none"/>
              </w:rPr>
            </w:r>
            <w:r/>
          </w:p>
        </w:tc>
        <w:tc>
          <w:tcPr>
            <w:tcW w:w="788"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937"/>
              <w:jc w:val="center"/>
              <w:rPr>
                <w:color w:val="000000"/>
                <w:sz w:val="24"/>
                <w:highlight w:val="none"/>
              </w:rPr>
            </w:pPr>
            <w:r>
              <w:rPr>
                <w:color w:val="000000"/>
                <w:sz w:val="24"/>
                <w:highlight w:val="none"/>
              </w:rPr>
            </w:r>
            <w:r/>
          </w:p>
        </w:tc>
        <w:tc>
          <w:tcPr>
            <w:tcW w:w="1301" w:type="dxa"/>
            <w:vAlign w:val="center"/>
            <w:textDirection w:val="lrTb"/>
            <w:noWrap w:val="false"/>
          </w:tcPr>
          <w:p>
            <w:pPr>
              <w:pStyle w:val="937"/>
              <w:jc w:val="center"/>
              <w:rPr>
                <w:color w:val="000000"/>
                <w:sz w:val="24"/>
                <w:highlight w:val="none"/>
              </w:rPr>
            </w:pPr>
            <w:r>
              <w:rPr>
                <w:color w:val="000000"/>
                <w:sz w:val="24"/>
                <w:highlight w:val="none"/>
              </w:rPr>
            </w:r>
            <w:r/>
          </w:p>
        </w:tc>
        <w:tc>
          <w:tcPr>
            <w:tcW w:w="2007" w:type="dxa"/>
            <w:vAlign w:val="center"/>
            <w:textDirection w:val="lrTb"/>
            <w:noWrap w:val="false"/>
          </w:tcPr>
          <w:p>
            <w:pPr>
              <w:pStyle w:val="937"/>
              <w:jc w:val="center"/>
              <w:rPr>
                <w:color w:val="000000"/>
                <w:sz w:val="24"/>
                <w:highlight w:val="none"/>
              </w:rPr>
            </w:pPr>
            <w:r>
              <w:rPr>
                <w:color w:val="000000"/>
                <w:sz w:val="24"/>
                <w:highlight w:val="none"/>
              </w:rPr>
            </w:r>
            <w:r/>
          </w:p>
        </w:tc>
        <w:tc>
          <w:tcPr>
            <w:tcW w:w="2008" w:type="dxa"/>
            <w:vAlign w:val="center"/>
            <w:textDirection w:val="lrTb"/>
            <w:noWrap w:val="false"/>
          </w:tcPr>
          <w:p>
            <w:pPr>
              <w:pStyle w:val="937"/>
              <w:jc w:val="center"/>
              <w:rPr>
                <w:color w:val="000000"/>
                <w:sz w:val="24"/>
                <w:highlight w:val="none"/>
              </w:rPr>
            </w:pPr>
            <w:r>
              <w:rPr>
                <w:color w:val="000000"/>
                <w:sz w:val="24"/>
                <w:highlight w:val="none"/>
              </w:rPr>
            </w:r>
            <w:r/>
          </w:p>
        </w:tc>
        <w:tc>
          <w:tcPr>
            <w:tcW w:w="2458" w:type="dxa"/>
            <w:vAlign w:val="center"/>
            <w:textDirection w:val="lrTb"/>
            <w:noWrap w:val="false"/>
          </w:tcPr>
          <w:p>
            <w:pPr>
              <w:pStyle w:val="937"/>
              <w:jc w:val="center"/>
              <w:rPr>
                <w:color w:val="000000"/>
                <w:sz w:val="24"/>
                <w:highlight w:val="none"/>
              </w:rPr>
            </w:pPr>
            <w:r>
              <w:rPr>
                <w:color w:val="000000"/>
                <w:sz w:val="24"/>
                <w:highlight w:val="none"/>
              </w:rPr>
            </w:r>
            <w:r/>
          </w:p>
        </w:tc>
        <w:tc>
          <w:tcPr>
            <w:tcW w:w="788" w:type="dxa"/>
            <w:vAlign w:val="center"/>
            <w:textDirection w:val="lrTb"/>
            <w:noWrap w:val="false"/>
          </w:tcPr>
          <w:p>
            <w:pPr>
              <w:pStyle w:val="937"/>
              <w:jc w:val="center"/>
              <w:rPr>
                <w:color w:val="000000"/>
                <w:sz w:val="24"/>
                <w:highlight w:val="none"/>
              </w:rPr>
            </w:pPr>
            <w:r>
              <w:rPr>
                <w:color w:val="000000"/>
                <w:sz w:val="24"/>
                <w:highlight w:val="none"/>
              </w:rPr>
            </w:r>
            <w:r/>
          </w:p>
        </w:tc>
      </w:tr>
    </w:tbl>
    <w:p>
      <w:pPr>
        <w:pStyle w:val="937"/>
        <w:jc w:val="left"/>
        <w:tabs>
          <w:tab w:val="left" w:pos="1800" w:leader="none"/>
          <w:tab w:val="left" w:pos="5580" w:leader="none"/>
        </w:tabs>
        <w:rPr>
          <w:color w:val="000000"/>
          <w:sz w:val="24"/>
          <w:highlight w:val="none"/>
        </w:rPr>
      </w:pPr>
      <w:r>
        <w:rPr>
          <w:color w:val="000000"/>
          <w:sz w:val="24"/>
          <w:highlight w:val="none"/>
        </w:rPr>
      </w:r>
      <w:r/>
    </w:p>
    <w:p>
      <w:pPr>
        <w:pStyle w:val="937"/>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937"/>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937"/>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937"/>
        <w:spacing w:line="360" w:lineRule="auto"/>
        <w:rPr>
          <w:color w:val="000000"/>
          <w:sz w:val="24"/>
          <w:szCs w:val="20"/>
          <w:highlight w:val="none"/>
        </w:rPr>
      </w:pPr>
      <w:r>
        <w:rPr>
          <w:color w:val="000000"/>
          <w:sz w:val="24"/>
          <w:szCs w:val="20"/>
          <w:highlight w:val="none"/>
        </w:rPr>
      </w:r>
      <w:r/>
    </w:p>
    <w:p>
      <w:pPr>
        <w:pStyle w:val="93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spacing w:line="360" w:lineRule="auto"/>
        <w:rPr>
          <w:rFonts w:hint="eastAsia"/>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r>
      <w:r/>
    </w:p>
    <w:p>
      <w:pPr>
        <w:pStyle w:val="937"/>
        <w:spacing w:line="360" w:lineRule="auto"/>
        <w:rPr>
          <w:color w:val="000000"/>
          <w:sz w:val="24"/>
          <w:szCs w:val="20"/>
          <w:highlight w:val="none"/>
        </w:rPr>
        <w:outlineLvl w:val="2"/>
      </w:pPr>
      <w:r>
        <w:rPr>
          <w:rFonts w:hint="eastAsia"/>
          <w:color w:val="000000"/>
          <w:sz w:val="24"/>
          <w:szCs w:val="20"/>
          <w:highlight w:val="none"/>
          <w:lang w:val="en-US" w:eastAsia="zh-CN"/>
        </w:rPr>
        <w:t xml:space="preserve">9</w:t>
      </w:r>
      <w:r>
        <w:rPr>
          <w:color w:val="000000"/>
          <w:sz w:val="24"/>
          <w:szCs w:val="20"/>
          <w:highlight w:val="none"/>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szCs w:val="20"/>
          <w:highlight w:val="none"/>
        </w:rPr>
        <w:t xml:space="preserve">采购需求偏离表（实质性格式）</w:t>
      </w:r>
      <w:r>
        <w:rPr>
          <w:color w:val="000000"/>
          <w:sz w:val="24"/>
          <w:szCs w:val="20"/>
          <w:highlight w:val="none"/>
        </w:rPr>
      </w:r>
      <w:r/>
    </w:p>
    <w:p>
      <w:pPr>
        <w:pStyle w:val="937"/>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937"/>
        <w:jc w:val="center"/>
        <w:rPr>
          <w:color w:val="000000"/>
          <w:sz w:val="36"/>
          <w:szCs w:val="36"/>
          <w:highlight w:val="none"/>
        </w:rPr>
      </w:pPr>
      <w:r>
        <w:rPr>
          <w:color w:val="000000"/>
          <w:sz w:val="36"/>
          <w:szCs w:val="36"/>
          <w:highlight w:val="none"/>
        </w:rPr>
      </w:r>
      <w:r/>
    </w:p>
    <w:p>
      <w:pPr>
        <w:pStyle w:val="93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3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t xml:space="preserve">偏离情况</w:t>
            </w:r>
            <w:r>
              <w:rPr>
                <w:color w:val="000000"/>
                <w:sz w:val="24"/>
                <w:highlight w:val="none"/>
              </w:rPr>
            </w:r>
            <w:r/>
          </w:p>
          <w:p>
            <w:pPr>
              <w:pStyle w:val="937"/>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937"/>
              <w:jc w:val="center"/>
              <w:rPr>
                <w:color w:val="000000"/>
                <w:sz w:val="24"/>
                <w:highlight w:val="none"/>
              </w:rPr>
            </w:pPr>
            <w:r>
              <w:rPr>
                <w:color w:val="000000"/>
                <w:sz w:val="24"/>
                <w:highlight w:val="none"/>
              </w:rPr>
            </w:r>
            <w:r/>
          </w:p>
        </w:tc>
        <w:tc>
          <w:tcPr>
            <w:tcW w:w="1482" w:type="dxa"/>
            <w:vAlign w:val="center"/>
            <w:textDirection w:val="lrTb"/>
            <w:noWrap w:val="false"/>
          </w:tcPr>
          <w:p>
            <w:pPr>
              <w:pStyle w:val="937"/>
              <w:jc w:val="center"/>
              <w:rPr>
                <w:color w:val="000000"/>
                <w:sz w:val="24"/>
                <w:highlight w:val="none"/>
              </w:rPr>
            </w:pPr>
            <w:r>
              <w:rPr>
                <w:color w:val="000000"/>
                <w:sz w:val="24"/>
                <w:highlight w:val="none"/>
              </w:rPr>
            </w:r>
            <w:r/>
          </w:p>
        </w:tc>
        <w:tc>
          <w:tcPr>
            <w:tcW w:w="2384" w:type="dxa"/>
            <w:vAlign w:val="center"/>
            <w:textDirection w:val="lrTb"/>
            <w:noWrap w:val="false"/>
          </w:tcPr>
          <w:p>
            <w:pPr>
              <w:pStyle w:val="937"/>
              <w:jc w:val="center"/>
              <w:rPr>
                <w:color w:val="000000"/>
                <w:sz w:val="24"/>
                <w:highlight w:val="none"/>
              </w:rPr>
            </w:pPr>
            <w:r>
              <w:rPr>
                <w:color w:val="000000"/>
                <w:sz w:val="24"/>
                <w:highlight w:val="none"/>
              </w:rPr>
            </w:r>
            <w:r/>
          </w:p>
        </w:tc>
        <w:tc>
          <w:tcPr>
            <w:tcW w:w="2126" w:type="dxa"/>
            <w:vAlign w:val="center"/>
            <w:textDirection w:val="lrTb"/>
            <w:noWrap w:val="false"/>
          </w:tcPr>
          <w:p>
            <w:pPr>
              <w:pStyle w:val="937"/>
              <w:jc w:val="center"/>
              <w:rPr>
                <w:color w:val="000000"/>
                <w:sz w:val="24"/>
                <w:highlight w:val="none"/>
              </w:rPr>
            </w:pPr>
            <w:r>
              <w:rPr>
                <w:color w:val="000000"/>
                <w:sz w:val="24"/>
                <w:highlight w:val="none"/>
              </w:rPr>
            </w:r>
            <w:r/>
          </w:p>
        </w:tc>
        <w:tc>
          <w:tcPr>
            <w:tcW w:w="1875" w:type="dxa"/>
            <w:vAlign w:val="center"/>
            <w:textDirection w:val="lrTb"/>
            <w:noWrap w:val="false"/>
          </w:tcPr>
          <w:p>
            <w:pPr>
              <w:pStyle w:val="937"/>
              <w:jc w:val="center"/>
              <w:rPr>
                <w:color w:val="000000"/>
                <w:sz w:val="24"/>
                <w:highlight w:val="none"/>
              </w:rPr>
            </w:pPr>
            <w:r>
              <w:rPr>
                <w:color w:val="000000"/>
                <w:sz w:val="24"/>
                <w:highlight w:val="none"/>
              </w:rPr>
            </w:r>
            <w:r/>
          </w:p>
        </w:tc>
        <w:tc>
          <w:tcPr>
            <w:tcW w:w="1009" w:type="dxa"/>
            <w:vAlign w:val="center"/>
            <w:textDirection w:val="lrTb"/>
            <w:noWrap w:val="false"/>
          </w:tcPr>
          <w:p>
            <w:pPr>
              <w:pStyle w:val="937"/>
              <w:jc w:val="center"/>
              <w:rPr>
                <w:color w:val="000000"/>
                <w:sz w:val="24"/>
                <w:highlight w:val="none"/>
              </w:rPr>
            </w:pPr>
            <w:r>
              <w:rPr>
                <w:color w:val="000000"/>
                <w:sz w:val="24"/>
                <w:highlight w:val="none"/>
              </w:rPr>
            </w:r>
            <w:r/>
          </w:p>
        </w:tc>
      </w:tr>
    </w:tbl>
    <w:p>
      <w:pPr>
        <w:pStyle w:val="93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93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93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937"/>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937"/>
        <w:jc w:val="left"/>
        <w:tabs>
          <w:tab w:val="left" w:pos="1800" w:leader="none"/>
          <w:tab w:val="left" w:pos="5580" w:leader="none"/>
        </w:tabs>
        <w:rPr>
          <w:color w:val="000000"/>
          <w:sz w:val="24"/>
          <w:highlight w:val="none"/>
        </w:rPr>
      </w:pPr>
      <w:r>
        <w:rPr>
          <w:color w:val="000000"/>
          <w:sz w:val="24"/>
          <w:highlight w:val="none"/>
        </w:rPr>
      </w:r>
      <w:r/>
    </w:p>
    <w:p>
      <w:pPr>
        <w:pStyle w:val="937"/>
        <w:rPr>
          <w:color w:val="000000"/>
          <w:sz w:val="24"/>
          <w:szCs w:val="20"/>
          <w:highlight w:val="none"/>
        </w:rPr>
      </w:pPr>
      <w:r>
        <w:rPr>
          <w:color w:val="000000"/>
          <w:sz w:val="24"/>
          <w:szCs w:val="20"/>
          <w:highlight w:val="none"/>
        </w:rPr>
      </w:r>
      <w:r/>
    </w:p>
    <w:p>
      <w:pPr>
        <w:pStyle w:val="937"/>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spacing w:line="360" w:lineRule="auto"/>
        <w:rPr>
          <w:b/>
          <w:color w:val="000000"/>
          <w:sz w:val="24"/>
          <w:highlight w:val="none"/>
        </w:rPr>
        <w:outlineLvl w:val="2"/>
      </w:pPr>
      <w:r>
        <w:rPr>
          <w:b/>
          <w:color w:val="000000"/>
          <w:sz w:val="24"/>
          <w:highlight w:val="none"/>
        </w:rPr>
      </w:r>
      <w:r/>
    </w:p>
    <w:p>
      <w:pPr>
        <w:pStyle w:val="937"/>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w:t>
      </w:r>
      <w:r>
        <w:rPr>
          <w:rFonts w:hint="eastAsia"/>
          <w:color w:val="000000"/>
          <w:sz w:val="24"/>
          <w:szCs w:val="20"/>
          <w:highlight w:val="none"/>
          <w:lang w:val="en-US" w:eastAsia="zh-CN"/>
        </w:rPr>
        <w:t xml:space="preserve">0</w:t>
      </w:r>
      <w:r>
        <w:rPr>
          <w:color w:val="000000"/>
          <w:sz w:val="24"/>
          <w:szCs w:val="20"/>
          <w:highlight w:val="none"/>
        </w:rPr>
        <w:t xml:space="preserve"> </w:t>
      </w:r>
      <w:r>
        <w:rPr>
          <w:rFonts w:hint="eastAsia"/>
          <w:color w:val="000000"/>
          <w:sz w:val="24"/>
          <w:szCs w:val="20"/>
          <w:highlight w:val="none"/>
        </w:rPr>
        <w:t xml:space="preserve">项目实施方案等，包括但不限于如下主题：</w:t>
      </w:r>
      <w:r>
        <w:rPr>
          <w:color w:val="000000"/>
          <w:sz w:val="24"/>
          <w:szCs w:val="20"/>
          <w:highlight w:val="none"/>
        </w:rPr>
      </w:r>
      <w:r/>
    </w:p>
    <w:p>
      <w:pPr>
        <w:pStyle w:val="937"/>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37"/>
        <w:spacing w:line="360" w:lineRule="auto"/>
        <w:rPr>
          <w:rFonts w:hint="eastAsia"/>
          <w:color w:val="000000"/>
          <w:sz w:val="24"/>
          <w:szCs w:val="20"/>
          <w:highlight w:val="none"/>
          <w:lang w:val="en-US" w:eastAsia="zh-CN"/>
        </w:rPr>
        <w:outlineLvl w:val="2"/>
      </w:pPr>
      <w:r>
        <w:rPr>
          <w:rFonts w:hint="eastAsia"/>
          <w:color w:val="000000"/>
          <w:sz w:val="24"/>
          <w:szCs w:val="20"/>
          <w:highlight w:val="none"/>
          <w:lang w:val="en-US" w:eastAsia="zh-CN"/>
        </w:rPr>
      </w:r>
      <w:r/>
    </w:p>
    <w:p>
      <w:pPr>
        <w:pStyle w:val="937"/>
        <w:spacing w:line="360" w:lineRule="auto"/>
        <w:rPr>
          <w:rFonts w:eastAsia="宋体"/>
          <w:color w:val="000000"/>
          <w:sz w:val="24"/>
          <w:szCs w:val="20"/>
          <w:highlight w:val="none"/>
          <w:lang w:val="en-US" w:eastAsia="zh-CN"/>
        </w:rPr>
        <w:outlineLvl w:val="2"/>
      </w:pPr>
      <w:r>
        <w:rPr>
          <w:rFonts w:hint="eastAsia"/>
          <w:color w:val="000000"/>
          <w:sz w:val="24"/>
          <w:szCs w:val="20"/>
          <w:highlight w:val="none"/>
          <w:lang w:val="en-US" w:eastAsia="zh-CN"/>
        </w:rPr>
        <w:t xml:space="preserve">根据评分标准中的方案填写</w:t>
      </w:r>
      <w:r>
        <w:rPr>
          <w:rFonts w:eastAsia="宋体"/>
          <w:color w:val="000000"/>
          <w:sz w:val="24"/>
          <w:szCs w:val="20"/>
          <w:highlight w:val="none"/>
          <w:lang w:val="en-US" w:eastAsia="zh-CN"/>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br w:type="page" w:clear="all"/>
      </w:r>
      <w:r>
        <w:rPr>
          <w:rFonts w:hint="eastAsia"/>
          <w:color w:val="000000"/>
          <w:sz w:val="24"/>
          <w:szCs w:val="20"/>
          <w:highlight w:val="none"/>
        </w:rPr>
      </w:r>
      <w:r/>
    </w:p>
    <w:p>
      <w:pPr>
        <w:pStyle w:val="937"/>
        <w:rPr>
          <w:rFonts w:hint="eastAsia"/>
          <w:color w:val="000000"/>
          <w:sz w:val="24"/>
          <w:szCs w:val="20"/>
          <w:highlight w:val="none"/>
        </w:rPr>
      </w:pPr>
      <w:r>
        <w:rPr>
          <w:rFonts w:hint="eastAsia"/>
          <w:color w:val="000000"/>
          <w:sz w:val="24"/>
          <w:szCs w:val="20"/>
          <w:highlight w:val="none"/>
        </w:rPr>
      </w:r>
      <w:r/>
    </w:p>
    <w:p>
      <w:pPr>
        <w:pStyle w:val="937"/>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1</w:t>
      </w:r>
      <w:r>
        <w:rPr>
          <w:rFonts w:hint="eastAsia"/>
          <w:color w:val="000000"/>
          <w:sz w:val="24"/>
          <w:szCs w:val="20"/>
          <w:highlight w:val="none"/>
        </w:rPr>
        <w:t xml:space="preserve"> 参加本项目人员一览表</w:t>
      </w:r>
      <w:r>
        <w:rPr>
          <w:color w:val="000000"/>
          <w:sz w:val="24"/>
          <w:szCs w:val="20"/>
          <w:highlight w:val="none"/>
        </w:rPr>
      </w:r>
      <w:r/>
    </w:p>
    <w:p>
      <w:pPr>
        <w:pStyle w:val="937"/>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937"/>
        <w:spacing w:line="360" w:lineRule="auto"/>
        <w:rPr>
          <w:rFonts w:ascii="宋体" w:hAnsi="宋体"/>
          <w:color w:val="000000"/>
          <w:sz w:val="22"/>
          <w:highlight w:val="none"/>
        </w:rPr>
      </w:pPr>
      <w:r>
        <w:rPr>
          <w:rFonts w:ascii="宋体" w:hAnsi="宋体"/>
          <w:color w:val="000000"/>
          <w:sz w:val="22"/>
          <w:highlight w:val="none"/>
        </w:rPr>
      </w:r>
      <w:r/>
    </w:p>
    <w:p>
      <w:pPr>
        <w:pStyle w:val="93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7"/>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37"/>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937"/>
        <w:spacing w:line="360" w:lineRule="auto"/>
        <w:rPr>
          <w:rFonts w:ascii="宋体" w:hAnsi="宋体"/>
          <w:color w:val="000000"/>
          <w:sz w:val="24"/>
          <w:highlight w:val="none"/>
        </w:rPr>
      </w:pPr>
      <w:r>
        <w:rPr>
          <w:rFonts w:ascii="宋体" w:hAnsi="宋体"/>
          <w:color w:val="000000"/>
          <w:sz w:val="24"/>
          <w:highlight w:val="none"/>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rPr>
          <w:rFonts w:hint="eastAsia"/>
          <w:color w:val="000000"/>
          <w:sz w:val="22"/>
          <w:highlight w:val="none"/>
        </w:rPr>
      </w:pPr>
      <w:r>
        <w:rPr>
          <w:color w:val="000000"/>
          <w:sz w:val="22"/>
          <w:highlight w:val="none"/>
        </w:rPr>
        <w:br w:type="page" w:clear="all"/>
      </w:r>
      <w:bookmarkStart w:id="708" w:name="_Toc288738397"/>
      <w:r/>
      <w:bookmarkStart w:id="709" w:name="_Toc288738839"/>
      <w:r>
        <w:rPr>
          <w:rFonts w:hint="eastAsia"/>
          <w:color w:val="000000"/>
          <w:sz w:val="22"/>
          <w:highlight w:val="none"/>
        </w:rPr>
      </w:r>
      <w:r/>
    </w:p>
    <w:p>
      <w:pPr>
        <w:pStyle w:val="937"/>
        <w:rPr>
          <w:color w:val="000000"/>
          <w:sz w:val="24"/>
          <w:szCs w:val="20"/>
          <w:highlight w:val="none"/>
        </w:rPr>
      </w:pPr>
      <w:r>
        <w:rPr>
          <w:rFonts w:hint="eastAsia"/>
          <w:color w:val="000000"/>
          <w:sz w:val="24"/>
          <w:szCs w:val="20"/>
          <w:highlight w:val="none"/>
        </w:rPr>
        <w:t xml:space="preserve">1</w:t>
      </w:r>
      <w:r>
        <w:rPr>
          <w:rFonts w:hint="eastAsia"/>
          <w:color w:val="000000"/>
          <w:sz w:val="24"/>
          <w:szCs w:val="20"/>
          <w:highlight w:val="none"/>
          <w:lang w:val="en-US" w:eastAsia="zh-CN"/>
        </w:rPr>
        <w:t xml:space="preserve">2</w:t>
      </w:r>
      <w:r>
        <w:rPr>
          <w:rFonts w:hint="eastAsia"/>
          <w:color w:val="000000"/>
          <w:sz w:val="24"/>
          <w:szCs w:val="20"/>
          <w:highlight w:val="none"/>
        </w:rPr>
        <w:t xml:space="preserve">  相关业绩案例一览表</w:t>
      </w:r>
      <w:r>
        <w:rPr>
          <w:color w:val="000000"/>
          <w:sz w:val="24"/>
          <w:szCs w:val="20"/>
          <w:highlight w:val="none"/>
        </w:rPr>
      </w:r>
      <w:r/>
    </w:p>
    <w:p>
      <w:pPr>
        <w:pStyle w:val="937"/>
        <w:rPr>
          <w:color w:val="000000"/>
          <w:sz w:val="24"/>
          <w:szCs w:val="20"/>
          <w:highlight w:val="none"/>
        </w:rPr>
      </w:pPr>
      <w:r>
        <w:rPr>
          <w:color w:val="000000"/>
          <w:sz w:val="24"/>
          <w:szCs w:val="20"/>
          <w:highlight w:val="none"/>
        </w:rPr>
      </w:r>
      <w:r/>
    </w:p>
    <w:p>
      <w:pPr>
        <w:pStyle w:val="93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708"/>
      <w:r/>
      <w:bookmarkEnd w:id="709"/>
      <w:r>
        <w:rPr>
          <w:rFonts w:ascii="宋体" w:hAnsi="宋体"/>
          <w:b/>
          <w:color w:val="000000"/>
          <w:sz w:val="32"/>
          <w:szCs w:val="32"/>
          <w:highlight w:val="none"/>
        </w:rPr>
      </w:r>
      <w:r/>
    </w:p>
    <w:p>
      <w:pPr>
        <w:pStyle w:val="93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3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3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3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3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7"/>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37"/>
        <w:spacing w:line="360" w:lineRule="auto"/>
        <w:rPr>
          <w:rFonts w:ascii="宋体" w:hAnsi="宋体" w:cs="宋体"/>
          <w:color w:val="000000"/>
          <w:sz w:val="24"/>
          <w:highlight w:val="none"/>
        </w:rPr>
      </w:pPr>
      <w:r>
        <w:rPr>
          <w:rFonts w:ascii="宋体" w:hAnsi="宋体" w:cs="宋体"/>
          <w:color w:val="000000"/>
          <w:sz w:val="24"/>
          <w:highlight w:val="none"/>
        </w:rPr>
      </w:r>
      <w:r/>
    </w:p>
    <w:p>
      <w:pPr>
        <w:pStyle w:val="937"/>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93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rFonts w:hint="eastAsia"/>
          <w:color w:val="000000"/>
          <w:sz w:val="24"/>
          <w:szCs w:val="20"/>
          <w:highlight w:val="none"/>
        </w:rPr>
        <w:outlineLvl w:val="2"/>
      </w:pPr>
      <w:r>
        <w:rPr>
          <w:rFonts w:hint="eastAsia"/>
          <w:color w:val="000000"/>
          <w:sz w:val="24"/>
          <w:szCs w:val="20"/>
          <w:highlight w:val="none"/>
        </w:rPr>
      </w:r>
      <w:r/>
    </w:p>
    <w:p>
      <w:pPr>
        <w:pStyle w:val="937"/>
        <w:spacing w:line="360" w:lineRule="auto"/>
        <w:rPr>
          <w:b/>
          <w:color w:val="000000"/>
          <w:sz w:val="24"/>
          <w:highlight w:val="none"/>
        </w:rPr>
      </w:pPr>
      <w:r>
        <w:rPr>
          <w:b/>
          <w:color w:val="000000"/>
          <w:sz w:val="24"/>
          <w:highlight w:val="none"/>
        </w:rPr>
      </w:r>
      <w:r/>
    </w:p>
    <w:p>
      <w:pPr>
        <w:pStyle w:val="937"/>
        <w:spacing w:line="360" w:lineRule="auto"/>
        <w:rPr>
          <w:color w:val="000000"/>
          <w:sz w:val="24"/>
          <w:highlight w:val="none"/>
        </w:rPr>
        <w:outlineLvl w:val="2"/>
      </w:pPr>
      <w:r>
        <w:rPr>
          <w:color w:val="000000"/>
          <w:sz w:val="24"/>
          <w:szCs w:val="20"/>
          <w:highlight w:val="none"/>
        </w:rPr>
        <w:br w:type="page" w:clear="all"/>
      </w:r>
      <w:r>
        <w:rPr>
          <w:color w:val="000000"/>
          <w:sz w:val="24"/>
          <w:szCs w:val="20"/>
          <w:highlight w:val="none"/>
        </w:rPr>
        <w:t xml:space="preserve">1</w:t>
      </w:r>
      <w:r>
        <w:rPr>
          <w:rFonts w:hint="eastAsia"/>
          <w:color w:val="000000"/>
          <w:sz w:val="24"/>
          <w:szCs w:val="20"/>
          <w:highlight w:val="none"/>
          <w:lang w:val="en-US" w:eastAsia="zh-CN"/>
        </w:rPr>
        <w:t xml:space="preserve">3</w:t>
      </w:r>
      <w:r>
        <w:rPr>
          <w:color w:val="000000"/>
          <w:sz w:val="24"/>
          <w:szCs w:val="20"/>
          <w:highlight w:val="none"/>
        </w:rPr>
        <w:t xml:space="preserve">  磋商文件要求提供或供应商认为应附的其他材料</w:t>
      </w:r>
      <w:r>
        <w:rPr>
          <w:color w:val="000000"/>
          <w:sz w:val="24"/>
          <w:highlight w:val="none"/>
        </w:rPr>
      </w:r>
      <w:r/>
    </w:p>
    <w:p>
      <w:pPr>
        <w:pStyle w:val="937"/>
        <w:rPr>
          <w:b/>
          <w:color w:val="000000"/>
          <w:sz w:val="36"/>
          <w:szCs w:val="36"/>
          <w:highlight w:val="none"/>
        </w:rPr>
      </w:pPr>
      <w:r>
        <w:rPr>
          <w:b/>
          <w:color w:val="000000"/>
          <w:sz w:val="36"/>
          <w:szCs w:val="36"/>
          <w:highlight w:val="none"/>
        </w:rPr>
      </w:r>
      <w:r/>
    </w:p>
    <w:p>
      <w:pPr>
        <w:pStyle w:val="937"/>
        <w:rPr>
          <w:color w:val="000000"/>
          <w:sz w:val="24"/>
          <w:highlight w:val="none"/>
          <w:lang w:val="zh-CN"/>
        </w:rPr>
      </w:pPr>
      <w:r>
        <w:rPr>
          <w:color w:val="000000"/>
          <w:sz w:val="24"/>
          <w:szCs w:val="20"/>
          <w:highlight w:val="none"/>
        </w:rPr>
        <w:t xml:space="preserve"> </w:t>
      </w:r>
      <w:r>
        <w:rPr>
          <w:color w:val="000000"/>
          <w:sz w:val="24"/>
          <w:highlight w:val="none"/>
          <w:lang w:val="zh-CN"/>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Wingdings 2">
    <w:panose1 w:val="05020102010507070707"/>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65</w:t>
    </w:r>
    <w:r>
      <w:rPr>
        <w:rFonts w:ascii="Times New Roman"/>
      </w:rPr>
      <w:fldChar w:fldCharType="end"/>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0"/>
      </w:rPr>
      <w:framePr w:wrap="around" w:vAnchor="text" w:hAnchor="margin" w:xAlign="right" w:y="1"/>
    </w:pPr>
    <w:r>
      <w:rPr>
        <w:rStyle w:val="1010"/>
      </w:rPr>
      <w:fldChar w:fldCharType="begin"/>
    </w:r>
    <w:r>
      <w:rPr>
        <w:rStyle w:val="1010"/>
      </w:rPr>
      <w:instrText xml:space="preserve">PAGE  </w:instrText>
    </w:r>
    <w:r>
      <w:rPr>
        <w:rStyle w:val="1010"/>
      </w:rPr>
      <w:fldChar w:fldCharType="end"/>
    </w:r>
    <w:r>
      <w:rPr>
        <w:rStyle w:val="1010"/>
      </w:rPr>
    </w:r>
    <w:r/>
  </w:p>
  <w:p>
    <w:pPr>
      <w:pStyle w:val="98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rPr>
        <w:rStyle w:val="1010"/>
      </w:rPr>
      <w:framePr w:wrap="around" w:vAnchor="text" w:hAnchor="margin" w:xAlign="right" w:y="1"/>
    </w:pPr>
    <w:r>
      <w:rPr>
        <w:rStyle w:val="1010"/>
      </w:rPr>
      <w:fldChar w:fldCharType="begin"/>
    </w:r>
    <w:r>
      <w:rPr>
        <w:rStyle w:val="1010"/>
      </w:rPr>
      <w:instrText xml:space="preserve">PAGE  </w:instrText>
    </w:r>
    <w:r>
      <w:rPr>
        <w:rStyle w:val="1010"/>
      </w:rPr>
      <w:fldChar w:fldCharType="end"/>
    </w:r>
    <w:r>
      <w:rPr>
        <w:rStyle w:val="1010"/>
      </w:rPr>
    </w:r>
    <w:r/>
  </w:p>
  <w:p>
    <w:pPr>
      <w:pStyle w:val="985"/>
      <w:ind w:right="360"/>
      <w:tabs>
        <w:tab w:val="center" w:pos="4153" w:leader="none"/>
        <w:tab w:val="right" w:pos="8306" w:leader="none"/>
      </w:tabs>
    </w:pPr>
    <w:r/>
    <w:r/>
  </w:p>
  <w:p>
    <w:pPr>
      <w:pStyle w:val="9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3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37"/>
        <w:ind w:left="4941" w:hanging="1140"/>
        <w:tabs>
          <w:tab w:val="num" w:pos="4941" w:leader="none"/>
        </w:tabs>
      </w:pPr>
      <w:rPr>
        <w:rFonts w:hint="eastAsia"/>
      </w:rPr>
    </w:lvl>
    <w:lvl w:ilvl="1">
      <w:start w:val="1"/>
      <w:numFmt w:val="lowerLetter"/>
      <w:isLgl w:val="false"/>
      <w:suff w:val="tab"/>
      <w:lvlText w:val="%2)"/>
      <w:lvlJc w:val="left"/>
      <w:pPr>
        <w:pStyle w:val="937"/>
        <w:ind w:left="4641" w:hanging="420"/>
        <w:tabs>
          <w:tab w:val="num" w:pos="4641" w:leader="none"/>
        </w:tabs>
      </w:pPr>
    </w:lvl>
    <w:lvl w:ilvl="2">
      <w:start w:val="1"/>
      <w:numFmt w:val="lowerRoman"/>
      <w:isLgl w:val="false"/>
      <w:suff w:val="tab"/>
      <w:lvlText w:val="%3."/>
      <w:lvlJc w:val="right"/>
      <w:pPr>
        <w:pStyle w:val="937"/>
        <w:ind w:left="5061" w:hanging="420"/>
        <w:tabs>
          <w:tab w:val="num" w:pos="5061" w:leader="none"/>
        </w:tabs>
      </w:pPr>
    </w:lvl>
    <w:lvl w:ilvl="3">
      <w:start w:val="1"/>
      <w:numFmt w:val="decimal"/>
      <w:isLgl w:val="false"/>
      <w:suff w:val="tab"/>
      <w:lvlText w:val="%4."/>
      <w:lvlJc w:val="left"/>
      <w:pPr>
        <w:pStyle w:val="937"/>
        <w:ind w:left="5481" w:hanging="420"/>
        <w:tabs>
          <w:tab w:val="num" w:pos="5481" w:leader="none"/>
        </w:tabs>
      </w:pPr>
    </w:lvl>
    <w:lvl w:ilvl="4">
      <w:start w:val="1"/>
      <w:numFmt w:val="lowerLetter"/>
      <w:isLgl w:val="false"/>
      <w:suff w:val="tab"/>
      <w:lvlText w:val="%5)"/>
      <w:lvlJc w:val="left"/>
      <w:pPr>
        <w:pStyle w:val="937"/>
        <w:ind w:left="5901" w:hanging="420"/>
        <w:tabs>
          <w:tab w:val="num" w:pos="5901" w:leader="none"/>
        </w:tabs>
      </w:pPr>
    </w:lvl>
    <w:lvl w:ilvl="5">
      <w:start w:val="1"/>
      <w:numFmt w:val="lowerRoman"/>
      <w:isLgl w:val="false"/>
      <w:suff w:val="tab"/>
      <w:lvlText w:val="%6."/>
      <w:lvlJc w:val="right"/>
      <w:pPr>
        <w:pStyle w:val="937"/>
        <w:ind w:left="6321" w:hanging="420"/>
        <w:tabs>
          <w:tab w:val="num" w:pos="6321" w:leader="none"/>
        </w:tabs>
      </w:pPr>
    </w:lvl>
    <w:lvl w:ilvl="6">
      <w:start w:val="1"/>
      <w:numFmt w:val="decimal"/>
      <w:isLgl w:val="false"/>
      <w:suff w:val="tab"/>
      <w:lvlText w:val="%7."/>
      <w:lvlJc w:val="left"/>
      <w:pPr>
        <w:pStyle w:val="937"/>
        <w:ind w:left="6741" w:hanging="420"/>
        <w:tabs>
          <w:tab w:val="num" w:pos="6741" w:leader="none"/>
        </w:tabs>
      </w:pPr>
    </w:lvl>
    <w:lvl w:ilvl="7">
      <w:start w:val="1"/>
      <w:numFmt w:val="lowerLetter"/>
      <w:isLgl w:val="false"/>
      <w:suff w:val="tab"/>
      <w:lvlText w:val="%8)"/>
      <w:lvlJc w:val="left"/>
      <w:pPr>
        <w:pStyle w:val="937"/>
        <w:ind w:left="7161" w:hanging="420"/>
        <w:tabs>
          <w:tab w:val="num" w:pos="7161" w:leader="none"/>
        </w:tabs>
      </w:pPr>
    </w:lvl>
    <w:lvl w:ilvl="8">
      <w:start w:val="1"/>
      <w:numFmt w:val="lowerRoman"/>
      <w:isLgl w:val="false"/>
      <w:suff w:val="tab"/>
      <w:lvlText w:val="%9."/>
      <w:lvlJc w:val="right"/>
      <w:pPr>
        <w:pStyle w:val="937"/>
        <w:ind w:left="7581" w:hanging="420"/>
        <w:tabs>
          <w:tab w:val="num" w:pos="7581" w:leader="none"/>
        </w:tabs>
      </w:pPr>
    </w:lvl>
  </w:abstractNum>
  <w:abstractNum w:abstractNumId="2">
    <w:multiLevelType w:val="hybridMultilevel"/>
    <w:lvl w:ilvl="0">
      <w:start w:val="1"/>
      <w:numFmt w:val="decimal"/>
      <w:pStyle w:val="1048"/>
      <w:isLgl w:val="false"/>
      <w:suff w:val="tab"/>
      <w:lvlText w:val="%1."/>
      <w:lvlJc w:val="left"/>
      <w:pPr>
        <w:pStyle w:val="937"/>
        <w:ind w:left="420" w:hanging="420"/>
      </w:pPr>
    </w:lvl>
    <w:lvl w:ilvl="1">
      <w:start w:val="1"/>
      <w:numFmt w:val="decimal"/>
      <w:isLgl w:val="false"/>
      <w:suff w:val="tab"/>
      <w:lvlText w:val="（%2）"/>
      <w:lvlJc w:val="left"/>
      <w:pPr>
        <w:pStyle w:val="937"/>
        <w:ind w:left="1140" w:hanging="720"/>
        <w:tabs>
          <w:tab w:val="num" w:pos="1140" w:leader="none"/>
        </w:tabs>
      </w:pPr>
      <w:rPr>
        <w:rFonts w:hint="eastAsia"/>
      </w:r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3">
    <w:multiLevelType w:val="hybridMultilevel"/>
    <w:lvl w:ilvl="0">
      <w:start w:val="1"/>
      <w:numFmt w:val="lowerLetter"/>
      <w:pStyle w:val="1122"/>
      <w:isLgl w:val="false"/>
      <w:suff w:val="tab"/>
      <w:lvlText w:val="%1)"/>
      <w:lvlJc w:val="left"/>
      <w:pPr>
        <w:pStyle w:val="937"/>
        <w:ind w:left="902" w:hanging="420"/>
      </w:pPr>
      <w:rPr>
        <w:color w:val="000000"/>
      </w:rPr>
    </w:lvl>
    <w:lvl w:ilvl="1">
      <w:start w:val="1"/>
      <w:numFmt w:val="lowerLetter"/>
      <w:isLgl w:val="false"/>
      <w:suff w:val="tab"/>
      <w:lvlText w:val="%2)"/>
      <w:lvlJc w:val="left"/>
      <w:pPr>
        <w:pStyle w:val="937"/>
        <w:ind w:left="1322" w:hanging="420"/>
      </w:pPr>
    </w:lvl>
    <w:lvl w:ilvl="2">
      <w:start w:val="1"/>
      <w:numFmt w:val="lowerRoman"/>
      <w:isLgl w:val="false"/>
      <w:suff w:val="tab"/>
      <w:lvlText w:val="%3."/>
      <w:lvlJc w:val="right"/>
      <w:pPr>
        <w:pStyle w:val="937"/>
        <w:ind w:left="1742" w:hanging="420"/>
      </w:pPr>
    </w:lvl>
    <w:lvl w:ilvl="3">
      <w:start w:val="1"/>
      <w:numFmt w:val="decimal"/>
      <w:isLgl w:val="false"/>
      <w:suff w:val="tab"/>
      <w:lvlText w:val="%4."/>
      <w:lvlJc w:val="left"/>
      <w:pPr>
        <w:pStyle w:val="937"/>
        <w:ind w:left="2162" w:hanging="420"/>
      </w:pPr>
    </w:lvl>
    <w:lvl w:ilvl="4">
      <w:start w:val="1"/>
      <w:numFmt w:val="lowerLetter"/>
      <w:isLgl w:val="false"/>
      <w:suff w:val="tab"/>
      <w:lvlText w:val="%5)"/>
      <w:lvlJc w:val="left"/>
      <w:pPr>
        <w:pStyle w:val="937"/>
        <w:ind w:left="2582" w:hanging="420"/>
      </w:pPr>
    </w:lvl>
    <w:lvl w:ilvl="5">
      <w:start w:val="1"/>
      <w:numFmt w:val="lowerRoman"/>
      <w:isLgl w:val="false"/>
      <w:suff w:val="tab"/>
      <w:lvlText w:val="%6."/>
      <w:lvlJc w:val="right"/>
      <w:pPr>
        <w:pStyle w:val="937"/>
        <w:ind w:left="3002" w:hanging="420"/>
      </w:pPr>
    </w:lvl>
    <w:lvl w:ilvl="6">
      <w:start w:val="1"/>
      <w:numFmt w:val="decimal"/>
      <w:isLgl w:val="false"/>
      <w:suff w:val="tab"/>
      <w:lvlText w:val="%7."/>
      <w:lvlJc w:val="left"/>
      <w:pPr>
        <w:pStyle w:val="937"/>
        <w:ind w:left="3422" w:hanging="420"/>
      </w:pPr>
    </w:lvl>
    <w:lvl w:ilvl="7">
      <w:start w:val="1"/>
      <w:numFmt w:val="lowerLetter"/>
      <w:isLgl w:val="false"/>
      <w:suff w:val="tab"/>
      <w:lvlText w:val="%8)"/>
      <w:lvlJc w:val="left"/>
      <w:pPr>
        <w:pStyle w:val="937"/>
        <w:ind w:left="3842" w:hanging="420"/>
      </w:pPr>
    </w:lvl>
    <w:lvl w:ilvl="8">
      <w:start w:val="1"/>
      <w:numFmt w:val="lowerRoman"/>
      <w:isLgl w:val="false"/>
      <w:suff w:val="tab"/>
      <w:lvlText w:val="%9."/>
      <w:lvlJc w:val="right"/>
      <w:pPr>
        <w:pStyle w:val="937"/>
        <w:ind w:left="4262" w:hanging="420"/>
      </w:pPr>
    </w:lvl>
  </w:abstractNum>
  <w:abstractNum w:abstractNumId="4">
    <w:multiLevelType w:val="hybridMultilevel"/>
    <w:lvl w:ilvl="0">
      <w:start w:val="1"/>
      <w:numFmt w:val="decimal"/>
      <w:pStyle w:val="1093"/>
      <w:isLgl w:val="false"/>
      <w:suff w:val="tab"/>
      <w:lvlText w:val="%1."/>
      <w:lvlJc w:val="left"/>
      <w:pPr>
        <w:pStyle w:val="93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2"/>
      <w:isLgl w:val="false"/>
      <w:suff w:val="nothing"/>
      <w:lvlText w:val="%1　"/>
      <w:lvlJc w:val="left"/>
      <w:pPr>
        <w:pStyle w:val="93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7"/>
        <w:ind w:left="-25" w:firstLine="0"/>
      </w:pPr>
      <w:rPr>
        <w:rFonts w:ascii="Times New Roman" w:hAnsi="Times New Roman" w:eastAsia="黑体"/>
        <w:b/>
        <w:i w:val="0"/>
        <w:sz w:val="28"/>
      </w:rPr>
    </w:lvl>
    <w:lvl w:ilvl="3">
      <w:start w:val="1"/>
      <w:numFmt w:val="decimal"/>
      <w:pStyle w:val="1078"/>
      <w:isLgl w:val="false"/>
      <w:suff w:val="nothing"/>
      <w:lvlText w:val="%1.%2.%3.%4　"/>
      <w:lvlJc w:val="left"/>
      <w:pPr>
        <w:pStyle w:val="93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7"/>
        <w:ind w:left="-25" w:firstLine="0"/>
      </w:pPr>
      <w:rPr>
        <w:rFonts w:ascii="Times New Roman" w:hAnsi="Times New Roman" w:eastAsia="宋体"/>
        <w:b/>
        <w:i w:val="0"/>
        <w:sz w:val="28"/>
      </w:rPr>
    </w:lvl>
    <w:lvl w:ilvl="6">
      <w:start w:val="1"/>
      <w:numFmt w:val="lowerLetter"/>
      <w:pStyle w:val="1099"/>
      <w:isLgl w:val="false"/>
      <w:suff w:val="tab"/>
      <w:lvlText w:val="%7) "/>
      <w:lvlJc w:val="left"/>
      <w:pPr>
        <w:pStyle w:val="937"/>
        <w:ind w:left="-125" w:firstLine="400"/>
        <w:tabs>
          <w:tab w:val="num" w:pos="635" w:leader="none"/>
        </w:tabs>
      </w:pPr>
      <w:rPr>
        <w:rFonts w:ascii="Times New Roman" w:hAnsi="Times New Roman" w:eastAsia="宋体"/>
        <w:b/>
        <w:i w:val="0"/>
        <w:color w:val="000000"/>
        <w:sz w:val="28"/>
        <w:u w:val="none"/>
      </w:rPr>
    </w:lvl>
    <w:lvl w:ilvl="7">
      <w:start w:val="1"/>
      <w:numFmt w:val="decimal"/>
      <w:pStyle w:val="1062"/>
      <w:isLgl w:val="false"/>
      <w:suff w:val="tab"/>
      <w:lvlText w:val="%8) "/>
      <w:lvlJc w:val="left"/>
      <w:pPr>
        <w:pStyle w:val="93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7"/>
        <w:ind w:left="768" w:hanging="360"/>
        <w:tabs>
          <w:tab w:val="num" w:pos="768" w:leader="none"/>
        </w:tabs>
      </w:pPr>
      <w:rPr>
        <w:rFonts w:hint="eastAsia"/>
      </w:rPr>
    </w:lvl>
    <w:lvl w:ilvl="1">
      <w:start w:val="1"/>
      <w:numFmt w:val="decimal"/>
      <w:pStyle w:val="1080"/>
      <w:isLgl w:val="false"/>
      <w:suff w:val="tab"/>
      <w:lvlText w:val="%2、"/>
      <w:lvlJc w:val="left"/>
      <w:pPr>
        <w:pStyle w:val="937"/>
        <w:ind w:left="1188" w:hanging="360"/>
        <w:tabs>
          <w:tab w:val="num" w:pos="1188" w:leader="none"/>
        </w:tabs>
      </w:pPr>
      <w:rPr>
        <w:rFonts w:hint="eastAsia"/>
      </w:rPr>
    </w:lvl>
    <w:lvl w:ilvl="2">
      <w:start w:val="1"/>
      <w:numFmt w:val="decimal"/>
      <w:isLgl w:val="false"/>
      <w:suff w:val="tab"/>
      <w:lvlText w:val="（%3）"/>
      <w:lvlJc w:val="left"/>
      <w:pPr>
        <w:pStyle w:val="937"/>
        <w:ind w:left="1968" w:hanging="720"/>
        <w:tabs>
          <w:tab w:val="num" w:pos="1968" w:leader="none"/>
        </w:tabs>
      </w:pPr>
      <w:rPr>
        <w:rFonts w:hint="eastAsia"/>
        <w:u w:val="none"/>
      </w:rPr>
    </w:lvl>
    <w:lvl w:ilvl="3">
      <w:start w:val="1"/>
      <w:numFmt w:val="decimal"/>
      <w:isLgl w:val="false"/>
      <w:suff w:val="tab"/>
      <w:lvlText w:val="%4."/>
      <w:lvlJc w:val="left"/>
      <w:pPr>
        <w:pStyle w:val="937"/>
        <w:ind w:left="2088" w:hanging="420"/>
        <w:tabs>
          <w:tab w:val="num" w:pos="2088" w:leader="none"/>
        </w:tabs>
      </w:pPr>
    </w:lvl>
    <w:lvl w:ilvl="4">
      <w:start w:val="1"/>
      <w:numFmt w:val="lowerLetter"/>
      <w:isLgl w:val="false"/>
      <w:suff w:val="tab"/>
      <w:lvlText w:val="%5)"/>
      <w:lvlJc w:val="left"/>
      <w:pPr>
        <w:pStyle w:val="937"/>
        <w:ind w:left="2508" w:hanging="420"/>
        <w:tabs>
          <w:tab w:val="num" w:pos="2508" w:leader="none"/>
        </w:tabs>
      </w:pPr>
    </w:lvl>
    <w:lvl w:ilvl="5">
      <w:start w:val="1"/>
      <w:numFmt w:val="lowerRoman"/>
      <w:isLgl w:val="false"/>
      <w:suff w:val="tab"/>
      <w:lvlText w:val="%6."/>
      <w:lvlJc w:val="right"/>
      <w:pPr>
        <w:pStyle w:val="937"/>
        <w:ind w:left="2928" w:hanging="420"/>
        <w:tabs>
          <w:tab w:val="num" w:pos="2928" w:leader="none"/>
        </w:tabs>
      </w:pPr>
    </w:lvl>
    <w:lvl w:ilvl="6">
      <w:start w:val="1"/>
      <w:numFmt w:val="decimal"/>
      <w:isLgl w:val="false"/>
      <w:suff w:val="tab"/>
      <w:lvlText w:val="%7."/>
      <w:lvlJc w:val="left"/>
      <w:pPr>
        <w:pStyle w:val="937"/>
        <w:ind w:left="3348" w:hanging="420"/>
        <w:tabs>
          <w:tab w:val="num" w:pos="3348" w:leader="none"/>
        </w:tabs>
      </w:pPr>
    </w:lvl>
    <w:lvl w:ilvl="7">
      <w:start w:val="1"/>
      <w:numFmt w:val="lowerLetter"/>
      <w:isLgl w:val="false"/>
      <w:suff w:val="tab"/>
      <w:lvlText w:val="%8)"/>
      <w:lvlJc w:val="left"/>
      <w:pPr>
        <w:pStyle w:val="937"/>
        <w:ind w:left="3768" w:hanging="420"/>
        <w:tabs>
          <w:tab w:val="num" w:pos="3768" w:leader="none"/>
        </w:tabs>
      </w:pPr>
    </w:lvl>
    <w:lvl w:ilvl="8">
      <w:start w:val="1"/>
      <w:numFmt w:val="lowerRoman"/>
      <w:isLgl w:val="false"/>
      <w:suff w:val="tab"/>
      <w:lvlText w:val="%9."/>
      <w:lvlJc w:val="right"/>
      <w:pPr>
        <w:pStyle w:val="93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8">
    <w:multiLevelType w:val="hybridMultilevel"/>
    <w:lvl w:ilvl="0">
      <w:start w:val="1"/>
      <w:numFmt w:val="decimal"/>
      <w:pStyle w:val="1047"/>
      <w:isLgl w:val="false"/>
      <w:suff w:val="tab"/>
      <w:lvlText w:val="%1)"/>
      <w:lvlJc w:val="left"/>
      <w:pPr>
        <w:pStyle w:val="937"/>
        <w:ind w:left="420" w:hanging="42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9">
    <w:multiLevelType w:val="hybridMultilevel"/>
    <w:lvl w:ilvl="0">
      <w:start w:val="1"/>
      <w:numFmt w:val="decimal"/>
      <w:pStyle w:val="1147"/>
      <w:isLgl w:val="false"/>
      <w:suff w:val="tab"/>
      <w:lvlText w:val="%1"/>
      <w:lvlJc w:val="left"/>
      <w:pPr>
        <w:pStyle w:val="937"/>
        <w:ind w:left="680" w:hanging="680"/>
      </w:pPr>
      <w:rPr>
        <w:rFonts w:hint="eastAsia" w:ascii="宋体" w:hAnsi="宋体" w:eastAsia="宋体"/>
      </w:rPr>
    </w:lvl>
    <w:lvl w:ilvl="1">
      <w:start w:val="1"/>
      <w:numFmt w:val="decimal"/>
      <w:pStyle w:val="1148"/>
      <w:isLgl w:val="false"/>
      <w:suff w:val="tab"/>
      <w:lvlText w:val="%1.%2"/>
      <w:lvlJc w:val="left"/>
      <w:pPr>
        <w:pStyle w:val="937"/>
        <w:ind w:left="851" w:hanging="851"/>
      </w:pPr>
      <w:rPr>
        <w:rFonts w:hint="eastAsia" w:ascii="宋体" w:hAnsi="宋体" w:eastAsia="宋体"/>
        <w:color w:val="000000"/>
      </w:rPr>
    </w:lvl>
    <w:lvl w:ilvl="2">
      <w:start w:val="1"/>
      <w:numFmt w:val="decimal"/>
      <w:pStyle w:val="1149"/>
      <w:isLgl w:val="false"/>
      <w:suff w:val="tab"/>
      <w:lvlText w:val="%1.%2.%3"/>
      <w:lvlJc w:val="left"/>
      <w:pPr>
        <w:pStyle w:val="937"/>
        <w:ind w:left="851" w:hanging="851"/>
      </w:pPr>
      <w:rPr>
        <w:rFonts w:hint="eastAsia"/>
      </w:rPr>
    </w:lvl>
    <w:lvl w:ilvl="3">
      <w:start w:val="1"/>
      <w:numFmt w:val="decimal"/>
      <w:isLgl w:val="false"/>
      <w:suff w:val="tab"/>
      <w:lvlText w:val="%1.%2.%3.%4"/>
      <w:lvlJc w:val="left"/>
      <w:pPr>
        <w:pStyle w:val="937"/>
        <w:ind w:left="680" w:hanging="680"/>
      </w:pPr>
      <w:rPr>
        <w:rFonts w:hint="eastAsia"/>
      </w:rPr>
    </w:lvl>
    <w:lvl w:ilvl="4">
      <w:start w:val="1"/>
      <w:numFmt w:val="decimal"/>
      <w:isLgl w:val="false"/>
      <w:suff w:val="tab"/>
      <w:lvlText w:val="%1.%2.%3.%4.%5"/>
      <w:lvlJc w:val="left"/>
      <w:pPr>
        <w:pStyle w:val="937"/>
        <w:ind w:left="680" w:hanging="680"/>
      </w:pPr>
      <w:rPr>
        <w:rFonts w:hint="eastAsia"/>
      </w:rPr>
    </w:lvl>
    <w:lvl w:ilvl="5">
      <w:start w:val="1"/>
      <w:numFmt w:val="decimal"/>
      <w:isLgl w:val="false"/>
      <w:suff w:val="tab"/>
      <w:lvlText w:val="%1.%2.%3.%4.%5.%6"/>
      <w:lvlJc w:val="left"/>
      <w:pPr>
        <w:pStyle w:val="937"/>
        <w:ind w:left="680" w:hanging="680"/>
      </w:pPr>
      <w:rPr>
        <w:rFonts w:hint="eastAsia"/>
      </w:rPr>
    </w:lvl>
    <w:lvl w:ilvl="6">
      <w:start w:val="1"/>
      <w:numFmt w:val="decimal"/>
      <w:isLgl w:val="false"/>
      <w:suff w:val="tab"/>
      <w:lvlText w:val="%1.%2.%3.%4.%5.%6.%7"/>
      <w:lvlJc w:val="left"/>
      <w:pPr>
        <w:pStyle w:val="937"/>
        <w:ind w:left="680" w:hanging="680"/>
      </w:pPr>
      <w:rPr>
        <w:rFonts w:hint="eastAsia"/>
      </w:rPr>
    </w:lvl>
    <w:lvl w:ilvl="7">
      <w:start w:val="1"/>
      <w:numFmt w:val="decimal"/>
      <w:isLgl w:val="false"/>
      <w:suff w:val="tab"/>
      <w:lvlText w:val="%1.%2.%3.%4.%5.%6.%7.%8"/>
      <w:lvlJc w:val="left"/>
      <w:pPr>
        <w:pStyle w:val="937"/>
        <w:ind w:left="680" w:hanging="680"/>
      </w:pPr>
      <w:rPr>
        <w:rFonts w:hint="eastAsia"/>
      </w:rPr>
    </w:lvl>
    <w:lvl w:ilvl="8">
      <w:start w:val="1"/>
      <w:numFmt w:val="decimal"/>
      <w:isLgl w:val="false"/>
      <w:suff w:val="tab"/>
      <w:lvlText w:val="%1.%2.%3.%4.%5.%6.%7.%8.%9"/>
      <w:lvlJc w:val="left"/>
      <w:pPr>
        <w:pStyle w:val="937"/>
        <w:ind w:left="680" w:hanging="680"/>
      </w:pPr>
      <w:rPr>
        <w:rFonts w:hint="eastAsia"/>
      </w:rPr>
    </w:lvl>
  </w:abstractNum>
  <w:abstractNum w:abstractNumId="10">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37"/>
        <w:ind w:left="900" w:hanging="900"/>
        <w:tabs>
          <w:tab w:val="num" w:pos="900" w:leader="none"/>
        </w:tabs>
      </w:pPr>
      <w:rPr>
        <w:rFonts w:hint="eastAsia"/>
      </w:rPr>
    </w:lvl>
    <w:lvl w:ilvl="1">
      <w:start w:val="1"/>
      <w:numFmt w:val="decimal"/>
      <w:isLgl w:val="false"/>
      <w:suff w:val="tab"/>
      <w:lvlText w:val="%1.%2"/>
      <w:lvlJc w:val="left"/>
      <w:pPr>
        <w:pStyle w:val="93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37"/>
        <w:ind w:left="1980" w:hanging="900"/>
        <w:tabs>
          <w:tab w:val="num" w:pos="1980" w:leader="none"/>
        </w:tabs>
      </w:pPr>
      <w:rPr>
        <w:rFonts w:hint="eastAsia"/>
      </w:rPr>
    </w:lvl>
    <w:lvl w:ilvl="3">
      <w:start w:val="1"/>
      <w:numFmt w:val="decimal"/>
      <w:isLgl w:val="false"/>
      <w:suff w:val="tab"/>
      <w:lvlText w:val="%1.%2.%3.%4"/>
      <w:lvlJc w:val="left"/>
      <w:pPr>
        <w:pStyle w:val="937"/>
        <w:ind w:left="900" w:hanging="900"/>
        <w:tabs>
          <w:tab w:val="num" w:pos="900" w:leader="none"/>
        </w:tabs>
      </w:pPr>
      <w:rPr>
        <w:rFonts w:hint="eastAsia"/>
      </w:rPr>
    </w:lvl>
    <w:lvl w:ilvl="4">
      <w:start w:val="1"/>
      <w:numFmt w:val="decimal"/>
      <w:isLgl w:val="false"/>
      <w:suff w:val="tab"/>
      <w:lvlText w:val="%1.%2.%3.%4.%5"/>
      <w:lvlJc w:val="left"/>
      <w:pPr>
        <w:pStyle w:val="937"/>
        <w:ind w:left="900" w:hanging="900"/>
        <w:tabs>
          <w:tab w:val="num" w:pos="900" w:leader="none"/>
        </w:tabs>
      </w:pPr>
      <w:rPr>
        <w:rFonts w:hint="eastAsia"/>
      </w:rPr>
    </w:lvl>
    <w:lvl w:ilvl="5">
      <w:start w:val="1"/>
      <w:numFmt w:val="decimal"/>
      <w:isLgl w:val="false"/>
      <w:suff w:val="tab"/>
      <w:lvlText w:val="%1.%2.%3.%4.%5.%6"/>
      <w:lvlJc w:val="left"/>
      <w:pPr>
        <w:pStyle w:val="937"/>
        <w:ind w:left="900" w:hanging="900"/>
        <w:tabs>
          <w:tab w:val="num" w:pos="900" w:leader="none"/>
        </w:tabs>
      </w:pPr>
      <w:rPr>
        <w:rFonts w:hint="eastAsia"/>
      </w:rPr>
    </w:lvl>
    <w:lvl w:ilvl="6">
      <w:start w:val="1"/>
      <w:numFmt w:val="decimal"/>
      <w:isLgl w:val="false"/>
      <w:suff w:val="tab"/>
      <w:lvlText w:val="%1.%2.%3.%4.%5.%6.%7"/>
      <w:lvlJc w:val="left"/>
      <w:pPr>
        <w:pStyle w:val="937"/>
        <w:ind w:left="900" w:hanging="900"/>
        <w:tabs>
          <w:tab w:val="num" w:pos="900" w:leader="none"/>
        </w:tabs>
      </w:pPr>
      <w:rPr>
        <w:rFonts w:hint="eastAsia"/>
      </w:rPr>
    </w:lvl>
    <w:lvl w:ilvl="7">
      <w:start w:val="1"/>
      <w:numFmt w:val="decimal"/>
      <w:isLgl w:val="false"/>
      <w:suff w:val="tab"/>
      <w:lvlText w:val="%1.%2.%3.%4.%5.%6.%7.%8"/>
      <w:lvlJc w:val="left"/>
      <w:pPr>
        <w:pStyle w:val="937"/>
        <w:ind w:left="900" w:hanging="900"/>
        <w:tabs>
          <w:tab w:val="num" w:pos="900" w:leader="none"/>
        </w:tabs>
      </w:pPr>
      <w:rPr>
        <w:rFonts w:hint="eastAsia"/>
      </w:rPr>
    </w:lvl>
    <w:lvl w:ilvl="8">
      <w:start w:val="1"/>
      <w:numFmt w:val="decimal"/>
      <w:isLgl w:val="false"/>
      <w:suff w:val="tab"/>
      <w:lvlText w:val="%1.%2.%3.%4.%5.%6.%7.%8.%9"/>
      <w:lvlJc w:val="left"/>
      <w:pPr>
        <w:pStyle w:val="937"/>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4"/>
      <w:lang w:val="en-US" w:eastAsia="zh-CN" w:bidi="ar-SA"/>
    </w:rPr>
  </w:style>
  <w:style w:type="paragraph" w:styleId="938">
    <w:name w:val="标题 1"/>
    <w:basedOn w:val="937"/>
    <w:next w:val="937"/>
    <w:link w:val="949"/>
    <w:qFormat/>
    <w:pPr>
      <w:jc w:val="center"/>
      <w:keepLines/>
      <w:keepNext/>
      <w:spacing w:before="240" w:after="120" w:line="300" w:lineRule="auto"/>
      <w:outlineLvl w:val="0"/>
    </w:pPr>
    <w:rPr>
      <w:rFonts w:ascii="宋体"/>
      <w:b/>
      <w:sz w:val="32"/>
      <w:szCs w:val="20"/>
    </w:rPr>
  </w:style>
  <w:style w:type="paragraph" w:styleId="939">
    <w:name w:val="标题 2"/>
    <w:basedOn w:val="937"/>
    <w:next w:val="951"/>
    <w:link w:val="950"/>
    <w:qFormat/>
    <w:pPr>
      <w:jc w:val="center"/>
      <w:keepLines/>
      <w:keepNext/>
      <w:spacing w:before="120" w:line="300" w:lineRule="auto"/>
      <w:outlineLvl w:val="1"/>
    </w:pPr>
    <w:rPr>
      <w:rFonts w:ascii="Arial" w:hAnsi="Arial" w:eastAsia="黑体"/>
      <w:b/>
      <w:sz w:val="30"/>
      <w:szCs w:val="20"/>
    </w:rPr>
  </w:style>
  <w:style w:type="paragraph" w:styleId="940">
    <w:name w:val="标题 3"/>
    <w:basedOn w:val="937"/>
    <w:next w:val="937"/>
    <w:link w:val="953"/>
    <w:qFormat/>
    <w:pPr>
      <w:jc w:val="left"/>
      <w:keepLines/>
      <w:keepNext/>
      <w:spacing w:before="360" w:after="120"/>
      <w:outlineLvl w:val="2"/>
    </w:pPr>
    <w:rPr>
      <w:rFonts w:ascii="宋体"/>
      <w:b/>
      <w:sz w:val="24"/>
      <w:szCs w:val="20"/>
      <w:u w:val="single"/>
    </w:rPr>
  </w:style>
  <w:style w:type="paragraph" w:styleId="941">
    <w:name w:val="标题 4"/>
    <w:basedOn w:val="937"/>
    <w:next w:val="937"/>
    <w:link w:val="954"/>
    <w:qFormat/>
    <w:pPr>
      <w:keepLines/>
      <w:keepNext/>
      <w:spacing w:before="280" w:after="290" w:line="376" w:lineRule="atLeast"/>
      <w:outlineLvl w:val="3"/>
    </w:pPr>
    <w:rPr>
      <w:rFonts w:ascii="Arial" w:hAnsi="Arial" w:eastAsia="黑体"/>
      <w:b/>
      <w:sz w:val="28"/>
      <w:szCs w:val="20"/>
    </w:rPr>
  </w:style>
  <w:style w:type="paragraph" w:styleId="942">
    <w:name w:val="标题 5"/>
    <w:basedOn w:val="937"/>
    <w:next w:val="937"/>
    <w:link w:val="955"/>
    <w:qFormat/>
    <w:pPr>
      <w:keepLines/>
      <w:keepNext/>
      <w:spacing w:before="280" w:after="290" w:line="376" w:lineRule="atLeast"/>
      <w:outlineLvl w:val="4"/>
    </w:pPr>
    <w:rPr>
      <w:b/>
      <w:sz w:val="28"/>
      <w:szCs w:val="20"/>
    </w:rPr>
  </w:style>
  <w:style w:type="paragraph" w:styleId="943">
    <w:name w:val="标题 6"/>
    <w:basedOn w:val="937"/>
    <w:next w:val="937"/>
    <w:link w:val="956"/>
    <w:qFormat/>
    <w:pPr>
      <w:keepLines/>
      <w:keepNext/>
      <w:spacing w:before="240" w:after="64" w:line="320" w:lineRule="atLeast"/>
      <w:outlineLvl w:val="5"/>
    </w:pPr>
    <w:rPr>
      <w:rFonts w:ascii="Arial" w:hAnsi="Arial" w:eastAsia="黑体"/>
      <w:b/>
      <w:sz w:val="24"/>
      <w:szCs w:val="20"/>
    </w:rPr>
  </w:style>
  <w:style w:type="paragraph" w:styleId="944">
    <w:name w:val="标题 7"/>
    <w:basedOn w:val="937"/>
    <w:next w:val="937"/>
    <w:link w:val="957"/>
    <w:qFormat/>
    <w:pPr>
      <w:keepLines/>
      <w:keepNext/>
      <w:spacing w:before="240" w:after="64" w:line="320" w:lineRule="atLeast"/>
      <w:outlineLvl w:val="6"/>
    </w:pPr>
    <w:rPr>
      <w:b/>
      <w:sz w:val="24"/>
      <w:szCs w:val="20"/>
    </w:rPr>
  </w:style>
  <w:style w:type="paragraph" w:styleId="945">
    <w:name w:val="标题 8"/>
    <w:basedOn w:val="937"/>
    <w:next w:val="937"/>
    <w:link w:val="958"/>
    <w:qFormat/>
    <w:pPr>
      <w:keepLines/>
      <w:keepNext/>
      <w:spacing w:before="240" w:after="64" w:line="320" w:lineRule="atLeast"/>
      <w:outlineLvl w:val="7"/>
    </w:pPr>
    <w:rPr>
      <w:rFonts w:ascii="Arial" w:hAnsi="Arial" w:eastAsia="黑体"/>
      <w:sz w:val="24"/>
      <w:szCs w:val="20"/>
    </w:rPr>
  </w:style>
  <w:style w:type="paragraph" w:styleId="946">
    <w:name w:val="标题 9"/>
    <w:basedOn w:val="937"/>
    <w:next w:val="937"/>
    <w:link w:val="959"/>
    <w:qFormat/>
    <w:pPr>
      <w:keepLines/>
      <w:keepNext/>
      <w:spacing w:before="240" w:after="64" w:line="320" w:lineRule="atLeast"/>
      <w:outlineLvl w:val="8"/>
    </w:pPr>
    <w:rPr>
      <w:rFonts w:ascii="Arial" w:hAnsi="Arial" w:eastAsia="黑体"/>
      <w:szCs w:val="20"/>
    </w:rPr>
  </w:style>
  <w:style w:type="character" w:styleId="947">
    <w:name w:val="默认段落字体"/>
    <w:next w:val="947"/>
    <w:link w:val="937"/>
    <w:uiPriority w:val="1"/>
    <w:unhideWhenUsed/>
    <w:qFormat/>
  </w:style>
  <w:style w:type="table" w:styleId="948">
    <w:name w:val="普通表格"/>
    <w:next w:val="948"/>
    <w:link w:val="937"/>
    <w:uiPriority w:val="99"/>
    <w:unhideWhenUsed/>
    <w:qFormat/>
    <w:tblPr/>
  </w:style>
  <w:style w:type="character" w:styleId="949">
    <w:name w:val="标题 1 Char"/>
    <w:next w:val="949"/>
    <w:link w:val="938"/>
    <w:qFormat/>
    <w:rPr>
      <w:rFonts w:ascii="宋体"/>
      <w:b/>
      <w:sz w:val="32"/>
    </w:rPr>
  </w:style>
  <w:style w:type="character" w:styleId="950">
    <w:name w:val="标题 2 Char1"/>
    <w:next w:val="950"/>
    <w:link w:val="939"/>
    <w:qFormat/>
    <w:rPr>
      <w:rFonts w:ascii="Arial" w:hAnsi="Arial" w:eastAsia="黑体"/>
      <w:b/>
      <w:sz w:val="30"/>
      <w:lang w:val="en-US" w:eastAsia="zh-CN" w:bidi="ar-SA"/>
    </w:rPr>
  </w:style>
  <w:style w:type="paragraph" w:styleId="951">
    <w:name w:val="正文缩进"/>
    <w:basedOn w:val="937"/>
    <w:next w:val="937"/>
    <w:link w:val="952"/>
    <w:qFormat/>
    <w:pPr>
      <w:ind w:firstLine="420"/>
      <w:jc w:val="left"/>
    </w:pPr>
    <w:rPr>
      <w:rFonts w:ascii="宋体"/>
      <w:sz w:val="24"/>
    </w:rPr>
  </w:style>
  <w:style w:type="character" w:styleId="952">
    <w:name w:val="正文缩进 Char1"/>
    <w:next w:val="952"/>
    <w:link w:val="951"/>
    <w:qFormat/>
    <w:rPr>
      <w:rFonts w:ascii="宋体" w:eastAsia="宋体"/>
      <w:sz w:val="24"/>
      <w:szCs w:val="24"/>
      <w:lang w:val="en-US" w:eastAsia="zh-CN" w:bidi="ar-SA"/>
    </w:rPr>
  </w:style>
  <w:style w:type="character" w:styleId="953">
    <w:name w:val="标题 3 Char1"/>
    <w:next w:val="953"/>
    <w:link w:val="940"/>
    <w:qFormat/>
    <w:rPr>
      <w:rFonts w:ascii="宋体" w:eastAsia="宋体"/>
      <w:b/>
      <w:sz w:val="24"/>
      <w:u w:val="single"/>
      <w:lang w:val="en-US" w:eastAsia="zh-CN" w:bidi="ar-SA"/>
    </w:rPr>
  </w:style>
  <w:style w:type="character" w:styleId="954">
    <w:name w:val="标题 4 Char"/>
    <w:next w:val="954"/>
    <w:link w:val="941"/>
    <w:qFormat/>
    <w:rPr>
      <w:rFonts w:ascii="Arial" w:hAnsi="Arial" w:eastAsia="黑体"/>
      <w:b/>
      <w:sz w:val="28"/>
    </w:rPr>
  </w:style>
  <w:style w:type="character" w:styleId="955">
    <w:name w:val="标题 5 Char"/>
    <w:next w:val="955"/>
    <w:link w:val="942"/>
    <w:qFormat/>
    <w:rPr>
      <w:b/>
      <w:sz w:val="28"/>
    </w:rPr>
  </w:style>
  <w:style w:type="character" w:styleId="956">
    <w:name w:val="标题 6 Char"/>
    <w:next w:val="956"/>
    <w:link w:val="943"/>
    <w:qFormat/>
    <w:rPr>
      <w:rFonts w:ascii="Arial" w:hAnsi="Arial" w:eastAsia="黑体"/>
      <w:b/>
      <w:sz w:val="24"/>
    </w:rPr>
  </w:style>
  <w:style w:type="character" w:styleId="957">
    <w:name w:val="标题 7 Char"/>
    <w:next w:val="957"/>
    <w:link w:val="944"/>
    <w:qFormat/>
    <w:rPr>
      <w:b/>
      <w:sz w:val="24"/>
    </w:rPr>
  </w:style>
  <w:style w:type="character" w:styleId="958">
    <w:name w:val="标题 8 Char"/>
    <w:next w:val="958"/>
    <w:link w:val="945"/>
    <w:qFormat/>
    <w:rPr>
      <w:rFonts w:ascii="Arial" w:hAnsi="Arial" w:eastAsia="黑体"/>
      <w:sz w:val="24"/>
    </w:rPr>
  </w:style>
  <w:style w:type="character" w:styleId="959">
    <w:name w:val="标题 9 Char"/>
    <w:next w:val="959"/>
    <w:link w:val="946"/>
    <w:qFormat/>
    <w:rPr>
      <w:rFonts w:ascii="Arial" w:hAnsi="Arial" w:eastAsia="黑体"/>
      <w:sz w:val="21"/>
    </w:rPr>
  </w:style>
  <w:style w:type="paragraph" w:styleId="960">
    <w:name w:val="目录 7"/>
    <w:basedOn w:val="937"/>
    <w:next w:val="937"/>
    <w:link w:val="937"/>
    <w:qFormat/>
    <w:pPr>
      <w:ind w:left="2520"/>
    </w:pPr>
  </w:style>
  <w:style w:type="paragraph" w:styleId="961">
    <w:name w:val="题注"/>
    <w:basedOn w:val="937"/>
    <w:next w:val="937"/>
    <w:link w:val="937"/>
    <w:qFormat/>
    <w:pPr>
      <w:spacing w:line="480" w:lineRule="auto"/>
    </w:pPr>
    <w:rPr>
      <w:rFonts w:ascii="华文中宋" w:hAnsi="华文中宋" w:eastAsia="华文中宋"/>
      <w:sz w:val="36"/>
      <w:szCs w:val="20"/>
    </w:rPr>
  </w:style>
  <w:style w:type="paragraph" w:styleId="962">
    <w:name w:val="文档结构图"/>
    <w:basedOn w:val="937"/>
    <w:next w:val="962"/>
    <w:link w:val="963"/>
    <w:qFormat/>
    <w:pPr>
      <w:shd w:val="clear" w:color="auto" w:fill="000080"/>
    </w:pPr>
  </w:style>
  <w:style w:type="character" w:styleId="963">
    <w:name w:val="文档结构图 Char"/>
    <w:next w:val="963"/>
    <w:link w:val="962"/>
    <w:qFormat/>
    <w:rPr>
      <w:sz w:val="21"/>
      <w:szCs w:val="24"/>
      <w:shd w:val="clear" w:color="auto" w:fill="000080"/>
    </w:rPr>
  </w:style>
  <w:style w:type="paragraph" w:styleId="964">
    <w:name w:val="批注文字"/>
    <w:basedOn w:val="937"/>
    <w:next w:val="964"/>
    <w:link w:val="965"/>
    <w:uiPriority w:val="99"/>
    <w:qFormat/>
    <w:pPr>
      <w:jc w:val="left"/>
    </w:pPr>
  </w:style>
  <w:style w:type="character" w:styleId="965">
    <w:name w:val="批注文字 Char1"/>
    <w:next w:val="965"/>
    <w:link w:val="964"/>
    <w:uiPriority w:val="99"/>
    <w:qFormat/>
    <w:rPr>
      <w:sz w:val="21"/>
      <w:szCs w:val="24"/>
    </w:rPr>
  </w:style>
  <w:style w:type="paragraph" w:styleId="966">
    <w:name w:val="正文文本 3"/>
    <w:basedOn w:val="937"/>
    <w:next w:val="966"/>
    <w:link w:val="967"/>
    <w:qFormat/>
    <w:pPr>
      <w:spacing w:after="120"/>
    </w:pPr>
    <w:rPr>
      <w:sz w:val="16"/>
      <w:szCs w:val="16"/>
    </w:rPr>
  </w:style>
  <w:style w:type="character" w:styleId="967">
    <w:name w:val="正文文本 3 Char"/>
    <w:next w:val="967"/>
    <w:link w:val="966"/>
    <w:qFormat/>
    <w:rPr>
      <w:sz w:val="16"/>
      <w:szCs w:val="16"/>
    </w:rPr>
  </w:style>
  <w:style w:type="paragraph" w:styleId="968">
    <w:name w:val="正文文本"/>
    <w:basedOn w:val="937"/>
    <w:next w:val="937"/>
    <w:link w:val="969"/>
    <w:qFormat/>
    <w:pPr>
      <w:spacing w:before="120" w:line="22" w:lineRule="atLeast"/>
      <w:tabs>
        <w:tab w:val="left" w:pos="567" w:leader="none"/>
      </w:tabs>
    </w:pPr>
    <w:rPr>
      <w:rFonts w:ascii="宋体" w:hAnsi="宋体"/>
      <w:sz w:val="24"/>
    </w:rPr>
  </w:style>
  <w:style w:type="character" w:styleId="969">
    <w:name w:val="正文文本 Char"/>
    <w:next w:val="969"/>
    <w:link w:val="968"/>
    <w:qFormat/>
    <w:rPr>
      <w:rFonts w:ascii="宋体" w:hAnsi="宋体"/>
      <w:sz w:val="24"/>
      <w:szCs w:val="24"/>
    </w:rPr>
  </w:style>
  <w:style w:type="paragraph" w:styleId="970">
    <w:name w:val="正文文本缩进"/>
    <w:basedOn w:val="937"/>
    <w:next w:val="937"/>
    <w:link w:val="971"/>
    <w:qFormat/>
    <w:pPr>
      <w:ind w:firstLine="570"/>
      <w:spacing w:line="360" w:lineRule="auto"/>
    </w:pPr>
    <w:rPr>
      <w:sz w:val="24"/>
    </w:rPr>
  </w:style>
  <w:style w:type="character" w:styleId="971">
    <w:name w:val="正文文本缩进 Char2"/>
    <w:next w:val="971"/>
    <w:link w:val="970"/>
    <w:qFormat/>
    <w:rPr>
      <w:rFonts w:eastAsia="宋体"/>
      <w:sz w:val="24"/>
      <w:szCs w:val="24"/>
      <w:lang w:val="en-US" w:eastAsia="zh-CN" w:bidi="ar-SA"/>
    </w:rPr>
  </w:style>
  <w:style w:type="paragraph" w:styleId="972">
    <w:name w:val="列表 2"/>
    <w:basedOn w:val="937"/>
    <w:next w:val="972"/>
    <w:link w:val="937"/>
    <w:qFormat/>
    <w:pPr>
      <w:ind w:left="100" w:hanging="200"/>
    </w:pPr>
  </w:style>
  <w:style w:type="paragraph" w:styleId="973">
    <w:name w:val="文本块"/>
    <w:basedOn w:val="937"/>
    <w:next w:val="973"/>
    <w:link w:val="937"/>
    <w:qFormat/>
    <w:pPr>
      <w:ind w:left="480" w:right="-341" w:firstLine="513"/>
      <w:widowControl/>
    </w:pPr>
    <w:rPr>
      <w:sz w:val="24"/>
      <w:szCs w:val="20"/>
    </w:rPr>
  </w:style>
  <w:style w:type="paragraph" w:styleId="974">
    <w:name w:val="目录 5"/>
    <w:basedOn w:val="937"/>
    <w:next w:val="937"/>
    <w:link w:val="937"/>
    <w:qFormat/>
    <w:pPr>
      <w:ind w:left="1680"/>
    </w:pPr>
  </w:style>
  <w:style w:type="paragraph" w:styleId="975">
    <w:name w:val="目录 3"/>
    <w:basedOn w:val="937"/>
    <w:next w:val="937"/>
    <w:link w:val="937"/>
    <w:uiPriority w:val="39"/>
    <w:qFormat/>
    <w:pPr>
      <w:ind w:left="840"/>
    </w:pPr>
  </w:style>
  <w:style w:type="paragraph" w:styleId="976">
    <w:name w:val="纯文本"/>
    <w:basedOn w:val="937"/>
    <w:next w:val="951"/>
    <w:link w:val="977"/>
    <w:qFormat/>
    <w:rPr>
      <w:rFonts w:hint="eastAsia" w:ascii="宋体" w:hAnsi="Courier New"/>
      <w:szCs w:val="20"/>
    </w:rPr>
  </w:style>
  <w:style w:type="character" w:styleId="977">
    <w:name w:val="纯文本 Char"/>
    <w:next w:val="977"/>
    <w:link w:val="976"/>
    <w:qFormat/>
    <w:rPr>
      <w:rFonts w:hint="eastAsia" w:ascii="宋体" w:hAnsi="Courier New" w:eastAsia="宋体" w:cs="宋体"/>
      <w:sz w:val="21"/>
    </w:rPr>
  </w:style>
  <w:style w:type="paragraph" w:styleId="978">
    <w:name w:val="目录 8"/>
    <w:basedOn w:val="937"/>
    <w:next w:val="937"/>
    <w:link w:val="937"/>
    <w:qFormat/>
    <w:pPr>
      <w:ind w:left="2940"/>
    </w:pPr>
  </w:style>
  <w:style w:type="paragraph" w:styleId="979">
    <w:name w:val="日期"/>
    <w:basedOn w:val="937"/>
    <w:next w:val="937"/>
    <w:link w:val="980"/>
    <w:qFormat/>
    <w:pPr>
      <w:ind w:left="100"/>
    </w:pPr>
    <w:rPr>
      <w:rFonts w:ascii="仿宋_GB2312" w:hAnsi="宋体" w:eastAsia="仿宋_GB2312"/>
      <w:color w:val="000000"/>
      <w:sz w:val="24"/>
    </w:rPr>
  </w:style>
  <w:style w:type="character" w:styleId="980">
    <w:name w:val="日期 Char"/>
    <w:next w:val="980"/>
    <w:link w:val="979"/>
    <w:qFormat/>
    <w:rPr>
      <w:rFonts w:ascii="仿宋_GB2312" w:hAnsi="宋体" w:eastAsia="仿宋_GB2312"/>
      <w:color w:val="000000"/>
      <w:sz w:val="24"/>
      <w:szCs w:val="24"/>
    </w:rPr>
  </w:style>
  <w:style w:type="paragraph" w:styleId="981">
    <w:name w:val="正文文本缩进 2"/>
    <w:basedOn w:val="937"/>
    <w:next w:val="981"/>
    <w:link w:val="982"/>
    <w:qFormat/>
    <w:pPr>
      <w:ind w:firstLine="480"/>
    </w:pPr>
    <w:rPr>
      <w:rFonts w:ascii="仿宋_GB2312" w:eastAsia="仿宋_GB2312"/>
      <w:sz w:val="24"/>
    </w:rPr>
  </w:style>
  <w:style w:type="character" w:styleId="982">
    <w:name w:val="正文文本缩进 2 Char"/>
    <w:next w:val="982"/>
    <w:link w:val="981"/>
    <w:qFormat/>
    <w:rPr>
      <w:rFonts w:ascii="仿宋_GB2312" w:eastAsia="仿宋_GB2312"/>
      <w:sz w:val="24"/>
      <w:szCs w:val="24"/>
    </w:rPr>
  </w:style>
  <w:style w:type="paragraph" w:styleId="983">
    <w:name w:val="批注框文本"/>
    <w:basedOn w:val="937"/>
    <w:next w:val="983"/>
    <w:link w:val="984"/>
    <w:qFormat/>
    <w:rPr>
      <w:sz w:val="18"/>
      <w:szCs w:val="18"/>
    </w:rPr>
  </w:style>
  <w:style w:type="character" w:styleId="984">
    <w:name w:val="批注框文本 Char"/>
    <w:next w:val="984"/>
    <w:link w:val="983"/>
    <w:qFormat/>
    <w:rPr>
      <w:sz w:val="18"/>
      <w:szCs w:val="18"/>
    </w:rPr>
  </w:style>
  <w:style w:type="paragraph" w:styleId="985">
    <w:name w:val="页脚"/>
    <w:basedOn w:val="937"/>
    <w:next w:val="985"/>
    <w:link w:val="986"/>
    <w:uiPriority w:val="99"/>
    <w:qFormat/>
    <w:pPr>
      <w:jc w:val="left"/>
      <w:tabs>
        <w:tab w:val="center" w:pos="4153" w:leader="none"/>
        <w:tab w:val="right" w:pos="8306" w:leader="none"/>
      </w:tabs>
    </w:pPr>
    <w:rPr>
      <w:rFonts w:ascii="宋体"/>
      <w:sz w:val="18"/>
      <w:szCs w:val="20"/>
    </w:rPr>
  </w:style>
  <w:style w:type="character" w:styleId="986">
    <w:name w:val="页脚 Char1"/>
    <w:next w:val="986"/>
    <w:link w:val="985"/>
    <w:uiPriority w:val="99"/>
    <w:qFormat/>
    <w:rPr>
      <w:rFonts w:ascii="宋体" w:eastAsia="宋体"/>
      <w:sz w:val="18"/>
      <w:lang w:val="en-US" w:eastAsia="zh-CN" w:bidi="ar-SA"/>
    </w:rPr>
  </w:style>
  <w:style w:type="paragraph" w:styleId="987">
    <w:name w:val="寄信人地址"/>
    <w:basedOn w:val="937"/>
    <w:next w:val="987"/>
    <w:link w:val="937"/>
    <w:uiPriority w:val="99"/>
    <w:unhideWhenUsed/>
    <w:qFormat/>
    <w:rPr>
      <w:rFonts w:ascii="Cambria" w:hAnsi="Cambria" w:eastAsia="宋体" w:cs="Times New Roman"/>
    </w:rPr>
  </w:style>
  <w:style w:type="paragraph" w:styleId="988">
    <w:name w:val="页眉"/>
    <w:basedOn w:val="937"/>
    <w:next w:val="988"/>
    <w:link w:val="989"/>
    <w:qFormat/>
    <w:pPr>
      <w:jc w:val="center"/>
      <w:tabs>
        <w:tab w:val="center" w:pos="4153" w:leader="none"/>
        <w:tab w:val="right" w:pos="8306" w:leader="none"/>
      </w:tabs>
      <w:pBdr>
        <w:bottom w:val="single" w:color="000000" w:sz="6" w:space="1"/>
      </w:pBdr>
    </w:pPr>
    <w:rPr>
      <w:sz w:val="18"/>
      <w:szCs w:val="18"/>
    </w:rPr>
  </w:style>
  <w:style w:type="character" w:styleId="989">
    <w:name w:val="页眉 Char1"/>
    <w:next w:val="989"/>
    <w:link w:val="988"/>
    <w:qFormat/>
    <w:rPr>
      <w:rFonts w:eastAsia="宋体"/>
      <w:sz w:val="18"/>
      <w:szCs w:val="18"/>
      <w:lang w:val="en-US" w:eastAsia="zh-CN" w:bidi="ar-SA"/>
    </w:rPr>
  </w:style>
  <w:style w:type="paragraph" w:styleId="990">
    <w:name w:val="目录 1"/>
    <w:basedOn w:val="937"/>
    <w:next w:val="937"/>
    <w:link w:val="937"/>
    <w:uiPriority w:val="39"/>
    <w:qFormat/>
    <w:pPr>
      <w:spacing w:line="300" w:lineRule="auto"/>
      <w:tabs>
        <w:tab w:val="left" w:pos="1050" w:leader="none"/>
        <w:tab w:val="right" w:pos="8937" w:leader="dot"/>
      </w:tabs>
    </w:pPr>
    <w:rPr>
      <w:rFonts w:ascii="宋体" w:hAnsi="宋体"/>
      <w:b/>
      <w:sz w:val="24"/>
    </w:rPr>
  </w:style>
  <w:style w:type="paragraph" w:styleId="991">
    <w:name w:val="目录 4"/>
    <w:basedOn w:val="937"/>
    <w:next w:val="937"/>
    <w:link w:val="937"/>
    <w:qFormat/>
    <w:pPr>
      <w:ind w:left="1260"/>
    </w:pPr>
  </w:style>
  <w:style w:type="paragraph" w:styleId="992">
    <w:name w:val="目录 6"/>
    <w:basedOn w:val="937"/>
    <w:next w:val="937"/>
    <w:link w:val="937"/>
    <w:qFormat/>
    <w:pPr>
      <w:ind w:left="2100"/>
    </w:pPr>
  </w:style>
  <w:style w:type="paragraph" w:styleId="993">
    <w:name w:val="正文文本缩进 3"/>
    <w:basedOn w:val="937"/>
    <w:next w:val="993"/>
    <w:link w:val="994"/>
    <w:qFormat/>
    <w:pPr>
      <w:ind w:left="720" w:firstLine="480"/>
      <w:jc w:val="left"/>
      <w:spacing w:before="120" w:line="22" w:lineRule="atLeast"/>
    </w:pPr>
    <w:rPr>
      <w:rFonts w:ascii="宋体"/>
      <w:sz w:val="24"/>
      <w:szCs w:val="20"/>
    </w:rPr>
  </w:style>
  <w:style w:type="character" w:styleId="994">
    <w:name w:val="正文文本缩进 3 Char"/>
    <w:next w:val="994"/>
    <w:link w:val="993"/>
    <w:qFormat/>
    <w:rPr>
      <w:rFonts w:ascii="宋体"/>
      <w:sz w:val="24"/>
    </w:rPr>
  </w:style>
  <w:style w:type="paragraph" w:styleId="995">
    <w:name w:val="目录 2"/>
    <w:basedOn w:val="937"/>
    <w:next w:val="937"/>
    <w:link w:val="937"/>
    <w:uiPriority w:val="39"/>
    <w:qFormat/>
    <w:pPr>
      <w:ind w:left="420"/>
      <w:spacing w:line="312" w:lineRule="auto"/>
      <w:tabs>
        <w:tab w:val="right" w:pos="8937" w:leader="dot"/>
      </w:tabs>
    </w:pPr>
  </w:style>
  <w:style w:type="paragraph" w:styleId="996">
    <w:name w:val="目录 9"/>
    <w:basedOn w:val="937"/>
    <w:next w:val="937"/>
    <w:link w:val="937"/>
    <w:qFormat/>
    <w:pPr>
      <w:ind w:left="3360"/>
    </w:pPr>
  </w:style>
  <w:style w:type="paragraph" w:styleId="997">
    <w:name w:val="HTML 预设格式"/>
    <w:basedOn w:val="937"/>
    <w:next w:val="997"/>
    <w:link w:val="99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98">
    <w:name w:val="HTML 预设格式 Char"/>
    <w:next w:val="998"/>
    <w:link w:val="997"/>
    <w:qFormat/>
    <w:rPr>
      <w:rFonts w:ascii="宋体" w:hAnsi="宋体" w:cs="宋体"/>
      <w:sz w:val="24"/>
      <w:szCs w:val="24"/>
    </w:rPr>
  </w:style>
  <w:style w:type="paragraph" w:styleId="999">
    <w:name w:val="普通(网站)"/>
    <w:basedOn w:val="937"/>
    <w:next w:val="999"/>
    <w:link w:val="937"/>
    <w:uiPriority w:val="99"/>
    <w:unhideWhenUsed/>
    <w:qFormat/>
    <w:pPr>
      <w:jc w:val="left"/>
      <w:spacing w:before="100" w:beforeAutospacing="1" w:after="100" w:afterAutospacing="1"/>
      <w:widowControl/>
    </w:pPr>
    <w:rPr>
      <w:rFonts w:ascii="宋体" w:hAnsi="宋体" w:cs="宋体"/>
      <w:sz w:val="24"/>
    </w:rPr>
  </w:style>
  <w:style w:type="paragraph" w:styleId="1000">
    <w:name w:val="索引 1"/>
    <w:basedOn w:val="937"/>
    <w:next w:val="937"/>
    <w:link w:val="937"/>
    <w:qFormat/>
    <w:rPr>
      <w:szCs w:val="20"/>
    </w:rPr>
  </w:style>
  <w:style w:type="paragraph" w:styleId="1001">
    <w:name w:val="标题"/>
    <w:basedOn w:val="937"/>
    <w:next w:val="1001"/>
    <w:link w:val="1002"/>
    <w:qFormat/>
    <w:pPr>
      <w:jc w:val="center"/>
      <w:outlineLvl w:val="0"/>
    </w:pPr>
    <w:rPr>
      <w:b/>
      <w:sz w:val="32"/>
      <w:szCs w:val="20"/>
    </w:rPr>
  </w:style>
  <w:style w:type="character" w:styleId="1002">
    <w:name w:val="标题 Char1"/>
    <w:next w:val="1002"/>
    <w:link w:val="1001"/>
    <w:qFormat/>
    <w:rPr>
      <w:b/>
      <w:sz w:val="32"/>
    </w:rPr>
  </w:style>
  <w:style w:type="paragraph" w:styleId="1003">
    <w:name w:val="批注主题"/>
    <w:basedOn w:val="964"/>
    <w:next w:val="964"/>
    <w:link w:val="1004"/>
    <w:qFormat/>
    <w:rPr>
      <w:b/>
      <w:bCs/>
    </w:rPr>
  </w:style>
  <w:style w:type="character" w:styleId="1004">
    <w:name w:val="批注主题 Char"/>
    <w:next w:val="1004"/>
    <w:link w:val="1003"/>
    <w:qFormat/>
    <w:rPr>
      <w:rFonts w:ascii="Times New Roman" w:hAnsi="Times New Roman" w:eastAsia="宋体" w:cs="Times New Roman"/>
      <w:b/>
      <w:bCs/>
      <w:sz w:val="21"/>
      <w:szCs w:val="24"/>
      <w:lang w:val="en-US" w:eastAsia="zh-CN" w:bidi="ar-SA"/>
    </w:rPr>
  </w:style>
  <w:style w:type="paragraph" w:styleId="1005">
    <w:name w:val="正文首行缩进 2"/>
    <w:basedOn w:val="937"/>
    <w:next w:val="937"/>
    <w:link w:val="1006"/>
    <w:qFormat/>
    <w:pPr>
      <w:ind w:left="420" w:firstLine="420"/>
      <w:spacing w:after="120" w:line="480" w:lineRule="exact"/>
    </w:pPr>
    <w:rPr>
      <w:sz w:val="24"/>
    </w:rPr>
  </w:style>
  <w:style w:type="character" w:styleId="1006">
    <w:name w:val="正文首行缩进 2 Char"/>
    <w:next w:val="1006"/>
    <w:link w:val="1005"/>
    <w:qFormat/>
    <w:rPr>
      <w:rFonts w:eastAsia="宋体"/>
      <w:sz w:val="24"/>
      <w:szCs w:val="24"/>
      <w:lang w:val="en-US" w:eastAsia="zh-CN" w:bidi="ar-SA"/>
    </w:rPr>
  </w:style>
  <w:style w:type="table" w:styleId="1007">
    <w:name w:val="网格型"/>
    <w:basedOn w:val="948"/>
    <w:next w:val="1007"/>
    <w:link w:val="937"/>
    <w:uiPriority w:val="39"/>
    <w:qFormat/>
    <w:tblPr/>
  </w:style>
  <w:style w:type="table" w:styleId="1008">
    <w:name w:val="中等深浅网格 1 - 强调文字颜色 2"/>
    <w:basedOn w:val="948"/>
    <w:next w:val="1008"/>
    <w:link w:val="937"/>
    <w:qFormat/>
    <w:rPr>
      <w:sz w:val="21"/>
      <w:szCs w:val="24"/>
    </w:rPr>
    <w:tblPr/>
  </w:style>
  <w:style w:type="character" w:styleId="1009">
    <w:name w:val="要点"/>
    <w:next w:val="1009"/>
    <w:link w:val="937"/>
    <w:qFormat/>
    <w:rPr>
      <w:b/>
      <w:bCs/>
    </w:rPr>
  </w:style>
  <w:style w:type="character" w:styleId="1010">
    <w:name w:val="页码"/>
    <w:next w:val="1010"/>
    <w:link w:val="937"/>
    <w:qFormat/>
  </w:style>
  <w:style w:type="character" w:styleId="1011">
    <w:name w:val="已访问的超链接"/>
    <w:basedOn w:val="947"/>
    <w:next w:val="1011"/>
    <w:link w:val="937"/>
    <w:qFormat/>
    <w:rPr>
      <w:color w:val="0066cc"/>
      <w:sz w:val="21"/>
      <w:szCs w:val="21"/>
      <w:u w:val="none"/>
    </w:rPr>
  </w:style>
  <w:style w:type="character" w:styleId="1012">
    <w:name w:val="强调"/>
    <w:next w:val="1012"/>
    <w:link w:val="937"/>
    <w:qFormat/>
    <w:rPr>
      <w:color w:val="cc0033"/>
    </w:rPr>
  </w:style>
  <w:style w:type="character" w:styleId="1013">
    <w:name w:val="超链接"/>
    <w:basedOn w:val="947"/>
    <w:next w:val="1013"/>
    <w:link w:val="937"/>
    <w:uiPriority w:val="99"/>
    <w:qFormat/>
    <w:rPr>
      <w:color w:val="0066cc"/>
      <w:sz w:val="21"/>
      <w:szCs w:val="21"/>
      <w:u w:val="none"/>
    </w:rPr>
  </w:style>
  <w:style w:type="character" w:styleId="1014">
    <w:name w:val="批注引用"/>
    <w:next w:val="1014"/>
    <w:link w:val="937"/>
    <w:uiPriority w:val="99"/>
    <w:qFormat/>
    <w:rPr>
      <w:sz w:val="21"/>
      <w:szCs w:val="21"/>
    </w:rPr>
  </w:style>
  <w:style w:type="character" w:styleId="1015">
    <w:name w:val="HTML 引文"/>
    <w:next w:val="1015"/>
    <w:link w:val="937"/>
    <w:qFormat/>
    <w:rPr>
      <w:i/>
      <w:iCs/>
    </w:rPr>
  </w:style>
  <w:style w:type="character" w:styleId="1016">
    <w:name w:val="纯文本 Char1"/>
    <w:next w:val="1016"/>
    <w:link w:val="937"/>
    <w:qFormat/>
    <w:rPr>
      <w:sz w:val="21"/>
      <w:szCs w:val="24"/>
      <w:lang w:val="en-US" w:eastAsia="zh-CN" w:bidi="ar-SA"/>
    </w:rPr>
  </w:style>
  <w:style w:type="paragraph" w:styleId="1017">
    <w:name w:val="Default"/>
    <w:next w:val="1017"/>
    <w:link w:val="937"/>
    <w:qFormat/>
    <w:pPr>
      <w:widowControl w:val="off"/>
    </w:pPr>
    <w:rPr>
      <w:rFonts w:ascii="Symbol" w:hAnsi="Symbol" w:cs="Symbol"/>
      <w:color w:val="000000"/>
      <w:sz w:val="24"/>
      <w:szCs w:val="24"/>
      <w:lang w:val="en-US" w:eastAsia="zh-CN" w:bidi="ar-SA"/>
    </w:rPr>
  </w:style>
  <w:style w:type="paragraph" w:styleId="1018">
    <w:name w:val="正文（缩进）"/>
    <w:basedOn w:val="937"/>
    <w:next w:val="1018"/>
    <w:link w:val="937"/>
    <w:qFormat/>
    <w:pPr>
      <w:ind w:firstLine="480"/>
    </w:pPr>
  </w:style>
  <w:style w:type="character" w:styleId="1019">
    <w:name w:val="批注文字 字符"/>
    <w:next w:val="1019"/>
    <w:link w:val="937"/>
    <w:uiPriority w:val="99"/>
    <w:qFormat/>
    <w:rPr>
      <w:rFonts w:ascii="Times New Roman" w:hAnsi="Times New Roman" w:eastAsia="宋体" w:cs="Times New Roman"/>
      <w:sz w:val="24"/>
      <w:lang w:val="en-US" w:eastAsia="zh-CN" w:bidi="ar-SA"/>
    </w:rPr>
  </w:style>
  <w:style w:type="character" w:styleId="1020">
    <w:name w:val="c21"/>
    <w:next w:val="1020"/>
    <w:link w:val="937"/>
    <w:qFormat/>
    <w:rPr>
      <w:rFonts w:ascii="ˎ̥" w:hAnsi="ˎ̥"/>
      <w:color w:val="000000"/>
      <w:sz w:val="20"/>
      <w:szCs w:val="20"/>
      <w:u w:val="none"/>
    </w:rPr>
  </w:style>
  <w:style w:type="character" w:styleId="1021">
    <w:name w:val="title4"/>
    <w:next w:val="1021"/>
    <w:link w:val="937"/>
    <w:qFormat/>
    <w:rPr>
      <w:b/>
      <w:bCs/>
      <w:color w:val="1d87b3"/>
      <w:sz w:val="15"/>
      <w:szCs w:val="15"/>
    </w:rPr>
  </w:style>
  <w:style w:type="character" w:styleId="1022">
    <w:name w:val="标题 2 Char Char"/>
    <w:next w:val="1022"/>
    <w:link w:val="937"/>
    <w:qFormat/>
    <w:rPr>
      <w:rFonts w:ascii="Arial" w:hAnsi="Arial" w:eastAsia="黑体"/>
      <w:b/>
      <w:bCs/>
      <w:sz w:val="32"/>
      <w:szCs w:val="32"/>
      <w:lang w:val="en-US" w:eastAsia="zh-CN" w:bidi="ar-SA"/>
    </w:rPr>
  </w:style>
  <w:style w:type="character" w:styleId="1023">
    <w:name w:val="black1"/>
    <w:next w:val="1023"/>
    <w:link w:val="937"/>
    <w:qFormat/>
    <w:rPr>
      <w:color w:val="000000"/>
    </w:rPr>
  </w:style>
  <w:style w:type="character" w:styleId="1024">
    <w:name w:val="street-address"/>
    <w:next w:val="1024"/>
    <w:link w:val="937"/>
    <w:qFormat/>
  </w:style>
  <w:style w:type="character" w:styleId="1025">
    <w:name w:val="locality"/>
    <w:next w:val="1025"/>
    <w:link w:val="937"/>
    <w:qFormat/>
  </w:style>
  <w:style w:type="character" w:styleId="1026">
    <w:name w:val="正文文本缩进 Char1"/>
    <w:next w:val="1026"/>
    <w:link w:val="1027"/>
    <w:qFormat/>
    <w:rPr>
      <w:rFonts w:ascii="宋体" w:hAnsi="宋体" w:eastAsia="宋体"/>
      <w:sz w:val="24"/>
      <w:szCs w:val="24"/>
      <w:lang w:bidi="ar-SA"/>
    </w:rPr>
  </w:style>
  <w:style w:type="paragraph" w:styleId="1027">
    <w:name w:val="正文文本缩进1"/>
    <w:basedOn w:val="937"/>
    <w:next w:val="1027"/>
    <w:link w:val="1026"/>
    <w:qFormat/>
    <w:pPr>
      <w:ind w:firstLine="480"/>
      <w:spacing w:line="480" w:lineRule="exact"/>
    </w:pPr>
    <w:rPr>
      <w:rFonts w:ascii="宋体" w:hAnsi="宋体"/>
      <w:sz w:val="24"/>
    </w:rPr>
  </w:style>
  <w:style w:type="character" w:styleId="1028">
    <w:name w:val="Char Char11"/>
    <w:next w:val="1028"/>
    <w:link w:val="937"/>
    <w:qFormat/>
    <w:rPr>
      <w:rFonts w:ascii="宋体" w:eastAsia="宋体"/>
      <w:b/>
      <w:sz w:val="24"/>
      <w:u w:val="single"/>
      <w:lang w:val="en-US" w:eastAsia="zh-CN" w:bidi="ar-SA"/>
    </w:rPr>
  </w:style>
  <w:style w:type="character" w:styleId="1029">
    <w:name w:val="txt"/>
    <w:next w:val="1029"/>
    <w:link w:val="937"/>
    <w:qFormat/>
  </w:style>
  <w:style w:type="character" w:styleId="1030">
    <w:name w:val="正文缩进 Char Char"/>
    <w:next w:val="1030"/>
    <w:link w:val="1031"/>
    <w:qFormat/>
    <w:rPr>
      <w:rFonts w:ascii="宋体" w:eastAsia="宋体"/>
      <w:color w:val="000000"/>
      <w:sz w:val="28"/>
      <w:lang w:bidi="ar-SA"/>
    </w:rPr>
  </w:style>
  <w:style w:type="paragraph" w:styleId="1031">
    <w:name w:val="正文缩进1"/>
    <w:basedOn w:val="937"/>
    <w:next w:val="1031"/>
    <w:link w:val="1030"/>
    <w:qFormat/>
    <w:pPr>
      <w:ind w:firstLine="567"/>
      <w:spacing w:line="480" w:lineRule="exact"/>
      <w:widowControl/>
    </w:pPr>
    <w:rPr>
      <w:rFonts w:ascii="宋体"/>
      <w:color w:val="000000"/>
      <w:sz w:val="28"/>
      <w:szCs w:val="20"/>
    </w:rPr>
  </w:style>
  <w:style w:type="character" w:styleId="1032">
    <w:name w:val="普通文字1 Char1"/>
    <w:next w:val="1032"/>
    <w:link w:val="937"/>
    <w:qFormat/>
    <w:rPr>
      <w:rFonts w:ascii="宋体" w:hAnsi="Courier New" w:eastAsia="宋体"/>
      <w:sz w:val="21"/>
      <w:lang w:val="en-US" w:eastAsia="zh-CN" w:bidi="ar-SA"/>
    </w:rPr>
  </w:style>
  <w:style w:type="character" w:styleId="1033">
    <w:name w:val="chanpin1"/>
    <w:next w:val="1033"/>
    <w:link w:val="937"/>
    <w:qFormat/>
    <w:rPr>
      <w:rFonts w:ascii="ˎ̥" w:hAnsi="ˎ̥"/>
      <w:color w:val="000000"/>
      <w:sz w:val="20"/>
      <w:szCs w:val="20"/>
      <w:u w:val="none"/>
    </w:rPr>
  </w:style>
  <w:style w:type="character" w:styleId="1034">
    <w:name w:val="列出段落 Char1"/>
    <w:next w:val="1034"/>
    <w:link w:val="1035"/>
    <w:uiPriority w:val="34"/>
    <w:qFormat/>
    <w:rPr>
      <w:rFonts w:ascii="Calibri" w:hAnsi="Calibri" w:eastAsia="宋体"/>
      <w:sz w:val="21"/>
      <w:szCs w:val="22"/>
      <w:lang w:val="en-US" w:eastAsia="zh-CN" w:bidi="ar-SA"/>
    </w:rPr>
  </w:style>
  <w:style w:type="paragraph" w:styleId="1035">
    <w:name w:val="列出段落"/>
    <w:basedOn w:val="937"/>
    <w:next w:val="1035"/>
    <w:link w:val="1034"/>
    <w:uiPriority w:val="34"/>
    <w:qFormat/>
    <w:pPr>
      <w:ind w:firstLine="420"/>
    </w:pPr>
    <w:rPr>
      <w:rFonts w:ascii="Calibri" w:hAnsi="Calibri"/>
      <w:szCs w:val="22"/>
    </w:rPr>
  </w:style>
  <w:style w:type="character" w:styleId="1036">
    <w:name w:val="标题 3 Char Char"/>
    <w:next w:val="1036"/>
    <w:link w:val="937"/>
    <w:qFormat/>
    <w:rPr>
      <w:rFonts w:eastAsia="宋体"/>
      <w:b/>
      <w:bCs/>
      <w:sz w:val="32"/>
      <w:szCs w:val="32"/>
      <w:lang w:val="en-US" w:eastAsia="zh-CN" w:bidi="ar-SA"/>
    </w:rPr>
  </w:style>
  <w:style w:type="character" w:styleId="1037">
    <w:name w:val="段1 Char"/>
    <w:next w:val="1037"/>
    <w:link w:val="937"/>
    <w:qFormat/>
    <w:rPr>
      <w:rFonts w:ascii="宋体" w:eastAsia="宋体"/>
      <w:sz w:val="24"/>
      <w:lang w:val="en-US" w:eastAsia="zh-CN" w:bidi="ar-SA"/>
    </w:rPr>
  </w:style>
  <w:style w:type="character" w:styleId="1038">
    <w:name w:val="chanpin拷贝"/>
    <w:next w:val="1038"/>
    <w:link w:val="937"/>
    <w:qFormat/>
  </w:style>
  <w:style w:type="character" w:styleId="1039">
    <w:name w:val="apple-style-span"/>
    <w:next w:val="1039"/>
    <w:link w:val="937"/>
    <w:qFormat/>
    <w:rPr>
      <w:rFonts w:cs="Times New Roman"/>
    </w:rPr>
  </w:style>
  <w:style w:type="paragraph" w:styleId="1040">
    <w:name w:val="二级条标题"/>
    <w:basedOn w:val="1041"/>
    <w:next w:val="937"/>
    <w:link w:val="937"/>
    <w:qFormat/>
    <w:pPr>
      <w:numPr>
        <w:ilvl w:val="0"/>
        <w:numId w:val="0"/>
      </w:numPr>
      <w:ind w:hanging="840"/>
      <w:tabs>
        <w:tab w:val="left" w:pos="360" w:leader="none"/>
        <w:tab w:val="left" w:pos="840" w:leader="none"/>
      </w:tabs>
      <w:outlineLvl w:val="2"/>
    </w:pPr>
    <w:rPr>
      <w:rFonts w:ascii="宋体" w:eastAsia="宋体"/>
      <w:b w:val="0"/>
    </w:rPr>
  </w:style>
  <w:style w:type="paragraph" w:styleId="1041">
    <w:name w:val="一级条标题"/>
    <w:basedOn w:val="1042"/>
    <w:next w:val="937"/>
    <w:link w:val="937"/>
    <w:qFormat/>
    <w:pPr>
      <w:numPr>
        <w:ilvl w:val="1"/>
      </w:numPr>
      <w:ind w:left="0" w:hanging="840"/>
      <w:tabs>
        <w:tab w:val="left" w:pos="360" w:leader="none"/>
        <w:tab w:val="left" w:pos="840" w:leader="none"/>
      </w:tabs>
      <w:outlineLvl w:val="1"/>
    </w:pPr>
  </w:style>
  <w:style w:type="paragraph" w:styleId="1042">
    <w:name w:val="章标题"/>
    <w:next w:val="937"/>
    <w:link w:val="93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3">
    <w:name w:val="font7"/>
    <w:basedOn w:val="937"/>
    <w:next w:val="1043"/>
    <w:link w:val="937"/>
    <w:qFormat/>
    <w:pPr>
      <w:jc w:val="left"/>
      <w:spacing w:before="100" w:beforeAutospacing="1" w:after="100" w:afterAutospacing="1"/>
      <w:widowControl/>
    </w:pPr>
    <w:rPr>
      <w:rFonts w:eastAsia="Arial Unicode MS"/>
      <w:b/>
      <w:bCs/>
      <w:color w:val="000000"/>
      <w:sz w:val="20"/>
      <w:szCs w:val="20"/>
    </w:rPr>
  </w:style>
  <w:style w:type="paragraph" w:styleId="1044">
    <w:name w:val="字元 字元"/>
    <w:basedOn w:val="937"/>
    <w:next w:val="1044"/>
    <w:link w:val="937"/>
    <w:qFormat/>
    <w:rPr>
      <w:rFonts w:ascii="Tahoma" w:hAnsi="Tahoma"/>
      <w:sz w:val="24"/>
      <w:szCs w:val="20"/>
    </w:rPr>
  </w:style>
  <w:style w:type="paragraph" w:styleId="1045">
    <w:name w:val="Char3 Char Char Char"/>
    <w:basedOn w:val="937"/>
    <w:next w:val="1045"/>
    <w:link w:val="937"/>
    <w:qFormat/>
    <w:rPr>
      <w:rFonts w:ascii="Tahoma" w:hAnsi="Tahoma"/>
      <w:sz w:val="24"/>
      <w:szCs w:val="20"/>
    </w:rPr>
  </w:style>
  <w:style w:type="paragraph" w:styleId="1046">
    <w:name w:val="font6"/>
    <w:basedOn w:val="937"/>
    <w:next w:val="1046"/>
    <w:link w:val="937"/>
    <w:qFormat/>
    <w:pPr>
      <w:jc w:val="left"/>
      <w:spacing w:before="100" w:beforeAutospacing="1" w:after="100" w:afterAutospacing="1"/>
      <w:widowControl/>
    </w:pPr>
    <w:rPr>
      <w:rFonts w:ascii="宋体" w:hAnsi="宋体" w:cs="宋体"/>
      <w:sz w:val="20"/>
      <w:szCs w:val="20"/>
    </w:rPr>
  </w:style>
  <w:style w:type="paragraph" w:styleId="1047">
    <w:name w:val="项目编号2"/>
    <w:basedOn w:val="1048"/>
    <w:next w:val="1047"/>
    <w:link w:val="937"/>
    <w:qFormat/>
    <w:pPr>
      <w:numPr>
        <w:numId w:val="3"/>
      </w:numPr>
    </w:pPr>
  </w:style>
  <w:style w:type="paragraph" w:styleId="1048">
    <w:name w:val="项目编号1"/>
    <w:basedOn w:val="937"/>
    <w:next w:val="1048"/>
    <w:link w:val="937"/>
    <w:qFormat/>
    <w:pPr>
      <w:numPr>
        <w:ilvl w:val="0"/>
        <w:numId w:val="2"/>
      </w:numPr>
      <w:spacing w:before="100" w:beforeAutospacing="1" w:after="100" w:afterAutospacing="1" w:line="360" w:lineRule="auto"/>
    </w:pPr>
    <w:rPr>
      <w:sz w:val="24"/>
    </w:rPr>
  </w:style>
  <w:style w:type="paragraph" w:styleId="1049">
    <w:name w:val="图中文字"/>
    <w:basedOn w:val="937"/>
    <w:next w:val="1049"/>
    <w:link w:val="937"/>
    <w:qFormat/>
    <w:pPr>
      <w:jc w:val="center"/>
      <w:spacing w:line="0" w:lineRule="atLeast"/>
    </w:pPr>
    <w:rPr>
      <w:sz w:val="24"/>
      <w:szCs w:val="20"/>
    </w:rPr>
  </w:style>
  <w:style w:type="paragraph" w:styleId="1050">
    <w:name w:val="xl46"/>
    <w:basedOn w:val="937"/>
    <w:next w:val="1050"/>
    <w:link w:val="93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1">
    <w:name w:val="xl25"/>
    <w:basedOn w:val="937"/>
    <w:next w:val="1051"/>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2">
    <w:name w:val="Char2"/>
    <w:basedOn w:val="937"/>
    <w:next w:val="1052"/>
    <w:link w:val="937"/>
    <w:qFormat/>
    <w:rPr>
      <w:rFonts w:ascii="Tahoma" w:hAnsi="Tahoma"/>
      <w:sz w:val="24"/>
      <w:szCs w:val="20"/>
    </w:rPr>
  </w:style>
  <w:style w:type="paragraph" w:styleId="1053">
    <w:name w:val="xl35"/>
    <w:basedOn w:val="937"/>
    <w:next w:val="1053"/>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4">
    <w:name w:val="xl40"/>
    <w:basedOn w:val="937"/>
    <w:next w:val="1054"/>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5">
    <w:name w:val="xl52"/>
    <w:basedOn w:val="937"/>
    <w:next w:val="1055"/>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6">
    <w:name w:val="xl43"/>
    <w:basedOn w:val="937"/>
    <w:next w:val="1056"/>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7">
    <w:name w:val="background1"/>
    <w:basedOn w:val="937"/>
    <w:next w:val="1057"/>
    <w:link w:val="937"/>
    <w:qFormat/>
    <w:pPr>
      <w:jc w:val="left"/>
      <w:spacing w:before="100" w:beforeAutospacing="1" w:after="100" w:afterAutospacing="1"/>
      <w:widowControl/>
    </w:pPr>
    <w:rPr>
      <w:rFonts w:ascii="宋体" w:hAnsi="宋体" w:cs="宋体"/>
      <w:sz w:val="24"/>
    </w:rPr>
  </w:style>
  <w:style w:type="paragraph" w:styleId="1058">
    <w:name w:val="Char Char Char Char Char Char Char"/>
    <w:basedOn w:val="937"/>
    <w:next w:val="1058"/>
    <w:link w:val="937"/>
    <w:qFormat/>
    <w:pPr>
      <w:ind w:firstLine="200"/>
      <w:spacing w:line="360" w:lineRule="auto"/>
    </w:pPr>
    <w:rPr>
      <w:rFonts w:eastAsia="仿宋_GB2312"/>
      <w:sz w:val="24"/>
    </w:rPr>
  </w:style>
  <w:style w:type="paragraph" w:styleId="1059">
    <w:name w:val="xl38"/>
    <w:basedOn w:val="937"/>
    <w:next w:val="1059"/>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0">
    <w:name w:val="xl36"/>
    <w:basedOn w:val="937"/>
    <w:next w:val="1060"/>
    <w:link w:val="93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1">
    <w:name w:val="正文 + 宋体"/>
    <w:basedOn w:val="937"/>
    <w:next w:val="1061"/>
    <w:link w:val="937"/>
    <w:qFormat/>
    <w:pPr>
      <w:ind w:left="360" w:hanging="360"/>
      <w:jc w:val="left"/>
      <w:widowControl/>
    </w:pPr>
    <w:rPr>
      <w:rFonts w:ascii="宋体" w:hAnsi="宋体" w:cs="宋体"/>
      <w:b/>
      <w:bCs/>
      <w:color w:val="000000"/>
      <w:sz w:val="18"/>
      <w:szCs w:val="18"/>
    </w:rPr>
  </w:style>
  <w:style w:type="paragraph" w:styleId="1062">
    <w:name w:val="正文列项_数字"/>
    <w:basedOn w:val="937"/>
    <w:next w:val="1062"/>
    <w:link w:val="937"/>
    <w:qFormat/>
    <w:pPr>
      <w:numPr>
        <w:ilvl w:val="7"/>
        <w:numId w:val="1"/>
      </w:numPr>
      <w:ind w:left="680" w:hanging="150"/>
      <w:spacing w:line="460" w:lineRule="exact"/>
      <w:tabs>
        <w:tab w:val="clear" w:pos="860" w:leader="none"/>
      </w:tabs>
      <w:outlineLvl w:val="7"/>
    </w:pPr>
    <w:rPr>
      <w:rFonts w:ascii="宋体"/>
      <w:sz w:val="28"/>
      <w:szCs w:val="20"/>
    </w:rPr>
  </w:style>
  <w:style w:type="paragraph" w:styleId="1063">
    <w:name w:val="xl39"/>
    <w:basedOn w:val="937"/>
    <w:next w:val="1063"/>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4">
    <w:name w:val="xl37"/>
    <w:basedOn w:val="937"/>
    <w:next w:val="1064"/>
    <w:link w:val="93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5">
    <w:name w:val="xl32"/>
    <w:basedOn w:val="937"/>
    <w:next w:val="1065"/>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font8"/>
    <w:basedOn w:val="937"/>
    <w:next w:val="1066"/>
    <w:link w:val="937"/>
    <w:qFormat/>
    <w:pPr>
      <w:jc w:val="left"/>
      <w:spacing w:before="100" w:beforeAutospacing="1" w:after="100" w:afterAutospacing="1"/>
      <w:widowControl/>
    </w:pPr>
    <w:rPr>
      <w:sz w:val="36"/>
      <w:szCs w:val="36"/>
    </w:rPr>
  </w:style>
  <w:style w:type="paragraph" w:styleId="1067">
    <w:name w:val="Char"/>
    <w:basedOn w:val="937"/>
    <w:next w:val="1067"/>
    <w:link w:val="937"/>
    <w:qFormat/>
    <w:pPr>
      <w:tabs>
        <w:tab w:val="left" w:pos="360" w:leader="none"/>
      </w:tabs>
    </w:pPr>
    <w:rPr>
      <w:sz w:val="24"/>
    </w:rPr>
  </w:style>
  <w:style w:type="paragraph" w:styleId="1068">
    <w:name w:val="Char Char Char Char Char Char Char Char Char Char Char Char Char Char Char Char"/>
    <w:basedOn w:val="937"/>
    <w:next w:val="1068"/>
    <w:link w:val="937"/>
    <w:qFormat/>
    <w:pPr>
      <w:jc w:val="center"/>
      <w:spacing w:after="160" w:line="240" w:lineRule="exact"/>
      <w:widowControl/>
    </w:pPr>
    <w:rPr>
      <w:rFonts w:ascii="宋体" w:hAnsi="宋体"/>
      <w:b/>
      <w:sz w:val="30"/>
      <w:szCs w:val="30"/>
      <w:lang w:eastAsia="en-US"/>
    </w:rPr>
  </w:style>
  <w:style w:type="paragraph" w:styleId="1069">
    <w:name w:val="xl45"/>
    <w:basedOn w:val="937"/>
    <w:next w:val="1069"/>
    <w:link w:val="93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0">
    <w:name w:val="Char Char1 Char Char Char Char Char Char"/>
    <w:basedOn w:val="937"/>
    <w:next w:val="1070"/>
    <w:link w:val="937"/>
    <w:qFormat/>
    <w:pPr>
      <w:jc w:val="left"/>
      <w:spacing w:after="160" w:line="240" w:lineRule="exact"/>
      <w:widowControl/>
    </w:pPr>
    <w:rPr>
      <w:rFonts w:ascii="Verdana" w:hAnsi="Verdana" w:eastAsia="仿宋_GB2312"/>
      <w:sz w:val="24"/>
      <w:szCs w:val="20"/>
      <w:lang w:eastAsia="en-US"/>
    </w:rPr>
  </w:style>
  <w:style w:type="paragraph" w:styleId="1071">
    <w:name w:val="Char Char1"/>
    <w:basedOn w:val="962"/>
    <w:next w:val="1071"/>
    <w:link w:val="937"/>
    <w:qFormat/>
    <w:rPr>
      <w:rFonts w:ascii="Tahoma" w:hAnsi="Tahoma"/>
      <w:sz w:val="24"/>
    </w:rPr>
  </w:style>
  <w:style w:type="paragraph" w:styleId="1072">
    <w:name w:val="xl26"/>
    <w:basedOn w:val="937"/>
    <w:next w:val="1072"/>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3">
    <w:name w:val="xl30"/>
    <w:basedOn w:val="937"/>
    <w:next w:val="1073"/>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4">
    <w:name w:val="xl41"/>
    <w:basedOn w:val="937"/>
    <w:next w:val="1074"/>
    <w:link w:val="93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5">
    <w:name w:val="样式 宋体 五号 行距: 单倍行距"/>
    <w:basedOn w:val="937"/>
    <w:next w:val="1075"/>
    <w:link w:val="937"/>
    <w:qFormat/>
    <w:pPr>
      <w:jc w:val="left"/>
    </w:pPr>
    <w:rPr>
      <w:rFonts w:ascii="宋体" w:hAnsi="宋体"/>
      <w:szCs w:val="20"/>
    </w:rPr>
  </w:style>
  <w:style w:type="paragraph" w:styleId="1076">
    <w:name w:val="Char1 Char Char Char1"/>
    <w:basedOn w:val="937"/>
    <w:next w:val="1076"/>
    <w:link w:val="937"/>
    <w:qFormat/>
    <w:rPr>
      <w:rFonts w:ascii="Tahoma" w:hAnsi="Tahoma" w:cs="仿宋_GB2312"/>
      <w:sz w:val="24"/>
      <w:szCs w:val="28"/>
    </w:rPr>
  </w:style>
  <w:style w:type="paragraph" w:styleId="1077">
    <w:name w:val="四级条标题"/>
    <w:basedOn w:val="1078"/>
    <w:next w:val="937"/>
    <w:link w:val="937"/>
    <w:qFormat/>
    <w:pPr>
      <w:numPr>
        <w:ilvl w:val="4"/>
      </w:numPr>
      <w:ind w:left="0" w:hanging="840"/>
      <w:tabs>
        <w:tab w:val="left" w:pos="360" w:leader="none"/>
        <w:tab w:val="left" w:pos="840" w:leader="none"/>
      </w:tabs>
      <w:outlineLvl w:val="4"/>
    </w:pPr>
  </w:style>
  <w:style w:type="paragraph" w:styleId="1078">
    <w:name w:val="三级条标题"/>
    <w:basedOn w:val="1040"/>
    <w:next w:val="937"/>
    <w:link w:val="937"/>
    <w:qFormat/>
    <w:pPr>
      <w:numPr>
        <w:ilvl w:val="3"/>
        <w:numId w:val="1"/>
      </w:numPr>
      <w:ind w:left="0" w:hanging="840"/>
      <w:tabs>
        <w:tab w:val="left" w:pos="360" w:leader="none"/>
        <w:tab w:val="left" w:pos="840" w:leader="none"/>
      </w:tabs>
      <w:outlineLvl w:val="3"/>
    </w:pPr>
  </w:style>
  <w:style w:type="paragraph" w:styleId="1079">
    <w:name w:val="??"/>
    <w:next w:val="1079"/>
    <w:link w:val="937"/>
    <w:qFormat/>
    <w:pPr>
      <w:jc w:val="both"/>
      <w:widowControl w:val="off"/>
    </w:pPr>
    <w:rPr>
      <w:sz w:val="21"/>
      <w:lang w:val="en-US" w:eastAsia="en-US" w:bidi="ar-SA"/>
    </w:rPr>
  </w:style>
  <w:style w:type="paragraph" w:styleId="1080">
    <w:name w:val="样式 标题 2 + 宋体 五号 行距: 单倍行距"/>
    <w:basedOn w:val="939"/>
    <w:next w:val="1080"/>
    <w:link w:val="93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1">
    <w:name w:val="List Paragraph1"/>
    <w:basedOn w:val="937"/>
    <w:next w:val="1081"/>
    <w:link w:val="937"/>
    <w:qFormat/>
    <w:pPr>
      <w:ind w:firstLine="420"/>
    </w:pPr>
    <w:rPr>
      <w:rFonts w:ascii="Calibri" w:hAnsi="Calibri"/>
      <w:szCs w:val="22"/>
    </w:rPr>
  </w:style>
  <w:style w:type="paragraph" w:styleId="1082">
    <w:name w:val="项目符号1"/>
    <w:basedOn w:val="1083"/>
    <w:next w:val="1082"/>
    <w:link w:val="937"/>
    <w:qFormat/>
    <w:pPr>
      <w:ind w:left="-25" w:firstLine="0"/>
    </w:pPr>
  </w:style>
  <w:style w:type="paragraph" w:styleId="1083">
    <w:name w:val="正文文本样式"/>
    <w:basedOn w:val="937"/>
    <w:next w:val="1083"/>
    <w:link w:val="937"/>
    <w:qFormat/>
    <w:pPr>
      <w:ind w:firstLine="482"/>
      <w:spacing w:line="360" w:lineRule="auto"/>
    </w:pPr>
    <w:rPr>
      <w:rFonts w:cs="宋体"/>
      <w:sz w:val="24"/>
      <w:szCs w:val="20"/>
    </w:rPr>
  </w:style>
  <w:style w:type="paragraph" w:styleId="1084">
    <w:name w:val="xl27"/>
    <w:basedOn w:val="937"/>
    <w:next w:val="1084"/>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font5"/>
    <w:basedOn w:val="937"/>
    <w:next w:val="1085"/>
    <w:link w:val="937"/>
    <w:qFormat/>
    <w:pPr>
      <w:jc w:val="left"/>
      <w:spacing w:before="100" w:beforeAutospacing="1" w:after="100" w:afterAutospacing="1"/>
      <w:widowControl/>
    </w:pPr>
    <w:rPr>
      <w:rFonts w:ascii="宋体" w:hAnsi="宋体" w:cs="宋体"/>
      <w:sz w:val="18"/>
      <w:szCs w:val="18"/>
    </w:rPr>
  </w:style>
  <w:style w:type="paragraph" w:styleId="1086">
    <w:name w:val="五级条标题"/>
    <w:basedOn w:val="1077"/>
    <w:next w:val="937"/>
    <w:link w:val="937"/>
    <w:qFormat/>
    <w:pPr>
      <w:numPr>
        <w:ilvl w:val="5"/>
      </w:numPr>
      <w:ind w:left="0" w:hanging="840"/>
      <w:tabs>
        <w:tab w:val="left" w:pos="360" w:leader="none"/>
        <w:tab w:val="left" w:pos="840" w:leader="none"/>
      </w:tabs>
      <w:outlineLvl w:val="5"/>
    </w:pPr>
  </w:style>
  <w:style w:type="paragraph" w:styleId="1087">
    <w:name w:val="xl49"/>
    <w:basedOn w:val="937"/>
    <w:next w:val="1087"/>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8">
    <w:name w:val="文档正文"/>
    <w:basedOn w:val="937"/>
    <w:next w:val="1088"/>
    <w:link w:val="937"/>
    <w:qFormat/>
    <w:pPr>
      <w:spacing w:before="120" w:after="120" w:line="180" w:lineRule="auto"/>
    </w:pPr>
    <w:rPr>
      <w:rFonts w:ascii="Arial" w:hAnsi="Arial"/>
      <w:szCs w:val="20"/>
    </w:rPr>
  </w:style>
  <w:style w:type="paragraph" w:styleId="1089">
    <w:name w:val="xl33"/>
    <w:basedOn w:val="937"/>
    <w:next w:val="1089"/>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42"/>
    <w:basedOn w:val="937"/>
    <w:next w:val="109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1">
    <w:name w:val="Char Char Char1 Char"/>
    <w:basedOn w:val="937"/>
    <w:next w:val="1091"/>
    <w:link w:val="937"/>
    <w:qFormat/>
    <w:rPr>
      <w:rFonts w:ascii="Tahoma" w:hAnsi="Tahoma"/>
      <w:sz w:val="24"/>
      <w:szCs w:val="20"/>
    </w:rPr>
  </w:style>
  <w:style w:type="paragraph" w:styleId="1092">
    <w:name w:val="xl44"/>
    <w:basedOn w:val="937"/>
    <w:next w:val="1092"/>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3">
    <w:name w:val="1名"/>
    <w:basedOn w:val="937"/>
    <w:next w:val="1093"/>
    <w:link w:val="937"/>
    <w:qFormat/>
    <w:pPr>
      <w:numPr>
        <w:ilvl w:val="0"/>
        <w:numId w:val="5"/>
      </w:numPr>
      <w:spacing w:before="120"/>
      <w:tabs>
        <w:tab w:val="left" w:pos="360" w:leader="none"/>
      </w:tabs>
    </w:pPr>
    <w:rPr>
      <w:rFonts w:ascii="宋体"/>
      <w:sz w:val="28"/>
      <w:szCs w:val="20"/>
    </w:rPr>
  </w:style>
  <w:style w:type="paragraph" w:styleId="1094">
    <w:name w:val="font9"/>
    <w:basedOn w:val="937"/>
    <w:next w:val="1094"/>
    <w:link w:val="937"/>
    <w:qFormat/>
    <w:pPr>
      <w:jc w:val="left"/>
      <w:spacing w:before="100" w:beforeAutospacing="1" w:after="100" w:afterAutospacing="1"/>
      <w:widowControl/>
    </w:pPr>
    <w:rPr>
      <w:rFonts w:hint="eastAsia" w:ascii="宋体" w:hAnsi="宋体" w:cs="Arial Unicode MS"/>
      <w:color w:val="000000"/>
      <w:sz w:val="20"/>
      <w:szCs w:val="20"/>
    </w:rPr>
  </w:style>
  <w:style w:type="paragraph" w:styleId="1095">
    <w:name w:val="Char Char Char1 Char1"/>
    <w:basedOn w:val="937"/>
    <w:next w:val="1095"/>
    <w:link w:val="937"/>
    <w:qFormat/>
    <w:rPr>
      <w:rFonts w:ascii="Tahoma" w:hAnsi="Tahoma"/>
      <w:sz w:val="24"/>
      <w:szCs w:val="20"/>
    </w:rPr>
  </w:style>
  <w:style w:type="paragraph" w:styleId="1096">
    <w:name w:val="Char Char Char Char Char Char Char Char Char Char"/>
    <w:basedOn w:val="937"/>
    <w:next w:val="1096"/>
    <w:link w:val="937"/>
    <w:qFormat/>
  </w:style>
  <w:style w:type="paragraph" w:styleId="1097">
    <w:name w:val="Char Char1 Char Char Char Char Char Char Char Char"/>
    <w:basedOn w:val="937"/>
    <w:next w:val="1097"/>
    <w:link w:val="937"/>
    <w:qFormat/>
    <w:pPr>
      <w:jc w:val="left"/>
      <w:spacing w:after="160" w:line="240" w:lineRule="exact"/>
      <w:widowControl/>
    </w:pPr>
    <w:rPr>
      <w:rFonts w:ascii="Verdana" w:hAnsi="Verdana"/>
      <w:sz w:val="20"/>
      <w:szCs w:val="20"/>
      <w:lang w:eastAsia="en-US"/>
    </w:rPr>
  </w:style>
  <w:style w:type="paragraph" w:styleId="1098">
    <w:name w:val="Char1"/>
    <w:basedOn w:val="937"/>
    <w:next w:val="1098"/>
    <w:link w:val="937"/>
    <w:qFormat/>
    <w:pPr>
      <w:tabs>
        <w:tab w:val="left" w:pos="360" w:leader="none"/>
      </w:tabs>
    </w:pPr>
    <w:rPr>
      <w:sz w:val="24"/>
    </w:rPr>
  </w:style>
  <w:style w:type="paragraph" w:styleId="1099">
    <w:name w:val="正文列项_字母"/>
    <w:basedOn w:val="937"/>
    <w:next w:val="1099"/>
    <w:link w:val="937"/>
    <w:qFormat/>
    <w:pPr>
      <w:numPr>
        <w:ilvl w:val="6"/>
        <w:numId w:val="1"/>
      </w:numPr>
      <w:ind w:left="480" w:hanging="180"/>
      <w:spacing w:line="460" w:lineRule="exact"/>
      <w:tabs>
        <w:tab w:val="clear" w:pos="635" w:leader="none"/>
      </w:tabs>
      <w:outlineLvl w:val="6"/>
    </w:pPr>
    <w:rPr>
      <w:rFonts w:ascii="宋体"/>
      <w:sz w:val="28"/>
      <w:szCs w:val="20"/>
    </w:rPr>
  </w:style>
  <w:style w:type="paragraph" w:styleId="1100">
    <w:name w:val="xl28"/>
    <w:basedOn w:val="937"/>
    <w:next w:val="1100"/>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1">
    <w:name w:val="xl47"/>
    <w:basedOn w:val="937"/>
    <w:next w:val="1101"/>
    <w:link w:val="93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2">
    <w:name w:val="默认段落字体 Para Char Char Char Char"/>
    <w:basedOn w:val="937"/>
    <w:next w:val="1102"/>
    <w:link w:val="937"/>
    <w:qFormat/>
    <w:rPr>
      <w:rFonts w:ascii="Arial" w:hAnsi="Arial" w:cs="Arial"/>
      <w:szCs w:val="21"/>
    </w:rPr>
  </w:style>
  <w:style w:type="paragraph" w:styleId="1103">
    <w:name w:val="xl48"/>
    <w:basedOn w:val="937"/>
    <w:next w:val="1103"/>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4">
    <w:name w:val="xl31"/>
    <w:basedOn w:val="937"/>
    <w:next w:val="1104"/>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5">
    <w:name w:val="xl53"/>
    <w:basedOn w:val="937"/>
    <w:next w:val="1105"/>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Char Char Char"/>
    <w:basedOn w:val="937"/>
    <w:next w:val="1106"/>
    <w:link w:val="937"/>
    <w:qFormat/>
    <w:rPr>
      <w:rFonts w:ascii="Tahoma" w:hAnsi="Tahoma"/>
      <w:sz w:val="24"/>
      <w:szCs w:val="20"/>
    </w:rPr>
  </w:style>
  <w:style w:type="paragraph" w:styleId="1107">
    <w:name w:val="xl50"/>
    <w:basedOn w:val="937"/>
    <w:next w:val="1107"/>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8">
    <w:name w:val="缺省文本"/>
    <w:basedOn w:val="937"/>
    <w:next w:val="1108"/>
    <w:link w:val="937"/>
    <w:qFormat/>
    <w:pPr>
      <w:jc w:val="left"/>
    </w:pPr>
    <w:rPr>
      <w:sz w:val="24"/>
    </w:rPr>
  </w:style>
  <w:style w:type="paragraph" w:styleId="1109">
    <w:name w:val="Char Char Char1"/>
    <w:basedOn w:val="937"/>
    <w:next w:val="1109"/>
    <w:link w:val="937"/>
    <w:qFormat/>
    <w:rPr>
      <w:rFonts w:ascii="Tahoma" w:hAnsi="Tahoma"/>
      <w:sz w:val="24"/>
      <w:szCs w:val="20"/>
    </w:rPr>
  </w:style>
  <w:style w:type="paragraph" w:styleId="1110">
    <w:name w:val="Char Char Char Char Char Char Char1"/>
    <w:basedOn w:val="937"/>
    <w:next w:val="1110"/>
    <w:link w:val="937"/>
    <w:qFormat/>
    <w:pPr>
      <w:ind w:firstLine="200"/>
      <w:spacing w:line="360" w:lineRule="auto"/>
    </w:pPr>
    <w:rPr>
      <w:rFonts w:eastAsia="仿宋_GB2312"/>
      <w:sz w:val="24"/>
    </w:rPr>
  </w:style>
  <w:style w:type="paragraph" w:styleId="1111">
    <w:name w:val="xl51"/>
    <w:basedOn w:val="937"/>
    <w:next w:val="1111"/>
    <w:link w:val="93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name w:val="样式2"/>
    <w:basedOn w:val="1000"/>
    <w:next w:val="1112"/>
    <w:link w:val="937"/>
    <w:qFormat/>
    <w:pPr>
      <w:jc w:val="center"/>
      <w:spacing w:line="360" w:lineRule="auto"/>
    </w:pPr>
    <w:rPr>
      <w:sz w:val="24"/>
    </w:rPr>
  </w:style>
  <w:style w:type="paragraph" w:styleId="1113">
    <w:name w:val="xl24"/>
    <w:basedOn w:val="937"/>
    <w:next w:val="1113"/>
    <w:link w:val="9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xl29"/>
    <w:basedOn w:val="937"/>
    <w:next w:val="1114"/>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5">
    <w:name w:val="正文 + 楷体_GB2312"/>
    <w:basedOn w:val="937"/>
    <w:next w:val="1115"/>
    <w:link w:val="937"/>
    <w:qFormat/>
    <w:pPr>
      <w:jc w:val="left"/>
      <w:widowControl/>
    </w:pPr>
    <w:rPr>
      <w:rFonts w:ascii="楷体_GB2312" w:eastAsia="楷体_GB2312" w:cs="Arial"/>
      <w:sz w:val="24"/>
    </w:rPr>
  </w:style>
  <w:style w:type="paragraph" w:styleId="1116">
    <w:name w:val="xl34"/>
    <w:basedOn w:val="937"/>
    <w:next w:val="1116"/>
    <w:link w:val="93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7">
    <w:name w:val="1 Char Char Char Char"/>
    <w:basedOn w:val="937"/>
    <w:next w:val="1117"/>
    <w:link w:val="937"/>
    <w:qFormat/>
    <w:rPr>
      <w:rFonts w:ascii="Tahoma" w:hAnsi="Tahoma"/>
      <w:sz w:val="24"/>
      <w:szCs w:val="20"/>
    </w:rPr>
  </w:style>
  <w:style w:type="paragraph" w:styleId="1118">
    <w:name w:val="列出段落1"/>
    <w:basedOn w:val="937"/>
    <w:next w:val="1118"/>
    <w:link w:val="937"/>
    <w:qFormat/>
    <w:pPr>
      <w:ind w:firstLine="420"/>
    </w:pPr>
    <w:rPr>
      <w:rFonts w:ascii="Calibri" w:hAnsi="Calibri"/>
      <w:szCs w:val="22"/>
    </w:rPr>
  </w:style>
  <w:style w:type="paragraph" w:styleId="1119">
    <w:name w:val="default"/>
    <w:basedOn w:val="937"/>
    <w:next w:val="1119"/>
    <w:link w:val="937"/>
    <w:qFormat/>
    <w:pPr>
      <w:jc w:val="left"/>
      <w:spacing w:before="100" w:beforeAutospacing="1" w:after="100" w:afterAutospacing="1"/>
      <w:widowControl/>
    </w:pPr>
    <w:rPr>
      <w:rFonts w:ascii="宋体" w:hAnsi="宋体" w:cs="宋体"/>
      <w:sz w:val="24"/>
    </w:rPr>
  </w:style>
  <w:style w:type="paragraph" w:styleId="1120">
    <w:name w:val="字元 字元1"/>
    <w:basedOn w:val="937"/>
    <w:next w:val="1120"/>
    <w:link w:val="937"/>
    <w:qFormat/>
    <w:rPr>
      <w:rFonts w:ascii="Tahoma" w:hAnsi="Tahoma"/>
      <w:sz w:val="24"/>
      <w:szCs w:val="20"/>
    </w:rPr>
  </w:style>
  <w:style w:type="paragraph" w:styleId="1121">
    <w:name w:val="_Style 160"/>
    <w:next w:val="1121"/>
    <w:link w:val="937"/>
    <w:qFormat/>
    <w:rPr>
      <w:sz w:val="21"/>
      <w:szCs w:val="24"/>
      <w:lang w:val="en-US" w:eastAsia="zh-CN" w:bidi="ar-SA"/>
    </w:rPr>
  </w:style>
  <w:style w:type="paragraph" w:styleId="1122">
    <w:name w:val="项目编号3"/>
    <w:basedOn w:val="1083"/>
    <w:next w:val="1122"/>
    <w:link w:val="937"/>
    <w:qFormat/>
    <w:pPr>
      <w:numPr>
        <w:ilvl w:val="0"/>
        <w:numId w:val="6"/>
      </w:numPr>
    </w:pPr>
  </w:style>
  <w:style w:type="paragraph" w:styleId="1123">
    <w:name w:val="Char21"/>
    <w:basedOn w:val="937"/>
    <w:next w:val="1123"/>
    <w:link w:val="937"/>
    <w:qFormat/>
    <w:rPr>
      <w:rFonts w:ascii="Tahoma" w:hAnsi="Tahoma"/>
      <w:sz w:val="24"/>
      <w:szCs w:val="20"/>
    </w:rPr>
  </w:style>
  <w:style w:type="paragraph" w:styleId="1124">
    <w:name w:val="表格文字"/>
    <w:basedOn w:val="970"/>
    <w:next w:val="1124"/>
    <w:link w:val="937"/>
    <w:qFormat/>
    <w:pPr>
      <w:ind w:firstLine="0"/>
      <w:spacing w:before="20" w:after="20" w:line="240" w:lineRule="auto"/>
    </w:pPr>
    <w:rPr>
      <w:rFonts w:ascii="Century Gothic" w:hAnsi="Century Gothic"/>
      <w:sz w:val="20"/>
      <w:szCs w:val="20"/>
    </w:rPr>
  </w:style>
  <w:style w:type="paragraph" w:styleId="1125">
    <w:name w:val="Char Char Char Char Char Char Char Char Char Char1"/>
    <w:basedOn w:val="937"/>
    <w:next w:val="1125"/>
    <w:link w:val="937"/>
    <w:qFormat/>
    <w:rPr>
      <w:rFonts w:ascii="宋体" w:hAnsi="宋体" w:cs="Courier New"/>
      <w:sz w:val="32"/>
      <w:szCs w:val="32"/>
    </w:rPr>
  </w:style>
  <w:style w:type="paragraph" w:styleId="1126">
    <w:name w:val="正文文本样式 加粗"/>
    <w:basedOn w:val="1083"/>
    <w:next w:val="1126"/>
    <w:link w:val="937"/>
    <w:qFormat/>
    <w:rPr>
      <w:b/>
    </w:rPr>
  </w:style>
  <w:style w:type="paragraph" w:styleId="1127">
    <w:name w:val="Char2 Char Char Char Char Char Char"/>
    <w:basedOn w:val="937"/>
    <w:next w:val="1127"/>
    <w:link w:val="937"/>
    <w:qFormat/>
    <w:pPr>
      <w:jc w:val="center"/>
      <w:spacing w:line="400" w:lineRule="exact"/>
      <w:widowControl/>
    </w:pPr>
  </w:style>
  <w:style w:type="paragraph" w:styleId="1128">
    <w:name w:val="Char Char4"/>
    <w:basedOn w:val="937"/>
    <w:next w:val="1128"/>
    <w:link w:val="937"/>
    <w:qFormat/>
    <w:pPr>
      <w:jc w:val="center"/>
      <w:spacing w:line="400" w:lineRule="exact"/>
      <w:widowControl/>
    </w:pPr>
  </w:style>
  <w:style w:type="paragraph" w:styleId="1129">
    <w:name w:val="Char3 Char Char Char1"/>
    <w:basedOn w:val="937"/>
    <w:next w:val="1129"/>
    <w:link w:val="937"/>
    <w:qFormat/>
    <w:rPr>
      <w:rFonts w:ascii="Tahoma" w:hAnsi="Tahoma"/>
      <w:sz w:val="24"/>
      <w:szCs w:val="20"/>
    </w:rPr>
  </w:style>
  <w:style w:type="paragraph" w:styleId="1130">
    <w:name w:val="无间隔"/>
    <w:next w:val="1130"/>
    <w:link w:val="937"/>
    <w:uiPriority w:val="1"/>
    <w:qFormat/>
    <w:pPr>
      <w:jc w:val="both"/>
      <w:widowControl w:val="off"/>
    </w:pPr>
    <w:rPr>
      <w:sz w:val="21"/>
      <w:szCs w:val="24"/>
      <w:lang w:val="en-US" w:eastAsia="zh-CN" w:bidi="ar-SA"/>
    </w:rPr>
  </w:style>
  <w:style w:type="paragraph" w:styleId="1131">
    <w:name w:val="22222222222222"/>
    <w:basedOn w:val="937"/>
    <w:next w:val="1131"/>
    <w:link w:val="937"/>
    <w:qFormat/>
    <w:pPr>
      <w:ind w:firstLine="480"/>
      <w:jc w:val="left"/>
      <w:spacing w:line="360" w:lineRule="auto"/>
      <w:widowControl/>
    </w:pPr>
    <w:rPr>
      <w:color w:val="ff0000"/>
      <w:sz w:val="24"/>
      <w:szCs w:val="20"/>
    </w:rPr>
  </w:style>
  <w:style w:type="character" w:styleId="1132">
    <w:name w:val="中等深浅网格 1 - 强调文字颜色 2 Char"/>
    <w:next w:val="1132"/>
    <w:link w:val="1133"/>
    <w:qFormat/>
    <w:rPr>
      <w:sz w:val="21"/>
      <w:szCs w:val="24"/>
      <w:lang w:val="zh-CN" w:eastAsia="zh-CN" w:bidi="ar-SA"/>
    </w:rPr>
  </w:style>
  <w:style w:type="paragraph" w:styleId="1133">
    <w:name w:val="1"/>
    <w:next w:val="1133"/>
    <w:link w:val="1132"/>
    <w:qFormat/>
    <w:rPr>
      <w:sz w:val="21"/>
      <w:szCs w:val="24"/>
      <w:lang w:val="zh-CN" w:eastAsia="zh-CN" w:bidi="ar-SA"/>
    </w:rPr>
  </w:style>
  <w:style w:type="paragraph" w:styleId="1134">
    <w:name w:val="图文"/>
    <w:basedOn w:val="937"/>
    <w:next w:val="1134"/>
    <w:link w:val="937"/>
    <w:qFormat/>
    <w:pPr>
      <w:spacing w:after="50" w:line="360" w:lineRule="auto"/>
    </w:pPr>
    <w:rPr>
      <w:sz w:val="24"/>
    </w:rPr>
  </w:style>
  <w:style w:type="paragraph" w:styleId="1135">
    <w:name w:val="xl23"/>
    <w:basedOn w:val="937"/>
    <w:next w:val="1135"/>
    <w:link w:val="937"/>
    <w:qFormat/>
    <w:pPr>
      <w:spacing w:before="100" w:beforeAutospacing="1" w:after="100" w:afterAutospacing="1" w:line="360" w:lineRule="auto"/>
      <w:widowControl/>
    </w:pPr>
    <w:rPr>
      <w:sz w:val="24"/>
      <w:szCs w:val="20"/>
    </w:rPr>
  </w:style>
  <w:style w:type="paragraph" w:styleId="1136">
    <w:name w:val="正文表格"/>
    <w:basedOn w:val="937"/>
    <w:next w:val="1136"/>
    <w:link w:val="1137"/>
    <w:qFormat/>
    <w:pPr>
      <w:jc w:val="left"/>
    </w:pPr>
    <w:rPr>
      <w:rFonts w:ascii="宋体" w:hAnsi="宋体"/>
      <w:color w:val="000000"/>
      <w:szCs w:val="21"/>
    </w:rPr>
  </w:style>
  <w:style w:type="character" w:styleId="1137">
    <w:name w:val="正文表格 Char"/>
    <w:next w:val="1137"/>
    <w:link w:val="1136"/>
    <w:qFormat/>
    <w:rPr>
      <w:rFonts w:ascii="宋体" w:hAnsi="宋体"/>
      <w:color w:val="000000"/>
      <w:sz w:val="21"/>
      <w:szCs w:val="21"/>
    </w:rPr>
  </w:style>
  <w:style w:type="paragraph" w:styleId="1138">
    <w:name w:val="正文重点"/>
    <w:basedOn w:val="937"/>
    <w:next w:val="1138"/>
    <w:link w:val="1139"/>
    <w:qFormat/>
    <w:pPr>
      <w:ind w:firstLine="482"/>
      <w:jc w:val="left"/>
      <w:spacing w:line="360" w:lineRule="auto"/>
    </w:pPr>
    <w:rPr>
      <w:b/>
      <w:sz w:val="24"/>
      <w:szCs w:val="20"/>
    </w:rPr>
  </w:style>
  <w:style w:type="character" w:styleId="1139">
    <w:name w:val="正文重点 Char"/>
    <w:next w:val="1139"/>
    <w:link w:val="1138"/>
    <w:qFormat/>
    <w:rPr>
      <w:b/>
      <w:sz w:val="24"/>
    </w:rPr>
  </w:style>
  <w:style w:type="paragraph" w:styleId="1140">
    <w:name w:val="标题1-附件"/>
    <w:basedOn w:val="938"/>
    <w:next w:val="1140"/>
    <w:link w:val="937"/>
    <w:qFormat/>
    <w:pPr>
      <w:jc w:val="left"/>
    </w:pPr>
    <w:rPr>
      <w:sz w:val="24"/>
      <w:szCs w:val="24"/>
    </w:rPr>
  </w:style>
  <w:style w:type="paragraph" w:styleId="1141">
    <w:name w:val="正文小标题"/>
    <w:basedOn w:val="937"/>
    <w:next w:val="951"/>
    <w:link w:val="1142"/>
    <w:qFormat/>
    <w:pPr>
      <w:ind w:firstLine="482"/>
      <w:jc w:val="left"/>
      <w:spacing w:before="312" w:after="312"/>
    </w:pPr>
    <w:rPr>
      <w:rFonts w:ascii="宋体" w:hAnsi="宋体"/>
      <w:b/>
      <w:i/>
      <w:color w:val="ff0000"/>
      <w:sz w:val="24"/>
      <w:szCs w:val="20"/>
    </w:rPr>
  </w:style>
  <w:style w:type="character" w:styleId="1142">
    <w:name w:val="正文小标题 Char"/>
    <w:next w:val="1142"/>
    <w:link w:val="1141"/>
    <w:qFormat/>
    <w:rPr>
      <w:rFonts w:ascii="宋体" w:hAnsi="宋体"/>
      <w:b/>
      <w:i/>
      <w:color w:val="ff0000"/>
      <w:sz w:val="24"/>
    </w:rPr>
  </w:style>
  <w:style w:type="paragraph" w:styleId="1143">
    <w:name w:val="正文大标题"/>
    <w:basedOn w:val="1141"/>
    <w:next w:val="951"/>
    <w:link w:val="1144"/>
    <w:qFormat/>
    <w:pPr>
      <w:jc w:val="center"/>
    </w:pPr>
    <w:rPr>
      <w:i w:val="0"/>
      <w:color w:val="000000"/>
      <w:sz w:val="28"/>
      <w:szCs w:val="21"/>
    </w:rPr>
  </w:style>
  <w:style w:type="character" w:styleId="1144">
    <w:name w:val="正文大标题 Char"/>
    <w:next w:val="1144"/>
    <w:link w:val="1143"/>
    <w:qFormat/>
    <w:rPr>
      <w:rFonts w:ascii="宋体" w:hAnsi="宋体"/>
      <w:b/>
      <w:color w:val="000000"/>
      <w:sz w:val="28"/>
      <w:szCs w:val="21"/>
    </w:rPr>
  </w:style>
  <w:style w:type="paragraph" w:styleId="1145">
    <w:name w:val="注释"/>
    <w:basedOn w:val="937"/>
    <w:next w:val="1145"/>
    <w:link w:val="1146"/>
    <w:qFormat/>
    <w:pPr>
      <w:ind w:left="420" w:hanging="420"/>
      <w:jc w:val="left"/>
    </w:pPr>
    <w:rPr>
      <w:rFonts w:ascii="宋体" w:hAnsi="宋体"/>
      <w:szCs w:val="21"/>
    </w:rPr>
  </w:style>
  <w:style w:type="character" w:styleId="1146">
    <w:name w:val="注释 Char"/>
    <w:next w:val="1146"/>
    <w:link w:val="1145"/>
    <w:qFormat/>
    <w:rPr>
      <w:rFonts w:ascii="宋体" w:hAnsi="宋体"/>
      <w:sz w:val="21"/>
      <w:szCs w:val="21"/>
    </w:rPr>
  </w:style>
  <w:style w:type="paragraph" w:styleId="1147">
    <w:name w:val="正文须知-1级"/>
    <w:basedOn w:val="937"/>
    <w:next w:val="937"/>
    <w:link w:val="937"/>
    <w:qFormat/>
    <w:pPr>
      <w:numPr>
        <w:ilvl w:val="0"/>
        <w:numId w:val="7"/>
      </w:numPr>
      <w:spacing w:line="300" w:lineRule="auto"/>
    </w:pPr>
    <w:rPr>
      <w:rFonts w:ascii="宋体" w:hAnsi="Calibri"/>
      <w:sz w:val="24"/>
      <w:szCs w:val="21"/>
    </w:rPr>
  </w:style>
  <w:style w:type="paragraph" w:styleId="1148">
    <w:name w:val="正文须知-2级"/>
    <w:basedOn w:val="937"/>
    <w:next w:val="1148"/>
    <w:link w:val="937"/>
    <w:qFormat/>
    <w:pPr>
      <w:numPr>
        <w:ilvl w:val="1"/>
        <w:numId w:val="7"/>
      </w:numPr>
      <w:spacing w:line="300" w:lineRule="auto"/>
    </w:pPr>
    <w:rPr>
      <w:rFonts w:ascii="宋体" w:hAnsi="Calibri"/>
      <w:sz w:val="24"/>
      <w:szCs w:val="21"/>
    </w:rPr>
  </w:style>
  <w:style w:type="paragraph" w:styleId="1149">
    <w:name w:val="正文须知-3级"/>
    <w:basedOn w:val="937"/>
    <w:next w:val="1149"/>
    <w:link w:val="937"/>
    <w:qFormat/>
    <w:pPr>
      <w:numPr>
        <w:ilvl w:val="2"/>
        <w:numId w:val="7"/>
      </w:numPr>
      <w:ind w:hanging="355"/>
      <w:spacing w:line="300" w:lineRule="auto"/>
    </w:pPr>
    <w:rPr>
      <w:rFonts w:ascii="宋体" w:hAnsi="Calibri"/>
      <w:sz w:val="24"/>
      <w:szCs w:val="21"/>
    </w:rPr>
  </w:style>
  <w:style w:type="character" w:styleId="1150">
    <w:name w:val="纯文本 字符"/>
    <w:next w:val="1150"/>
    <w:link w:val="937"/>
    <w:uiPriority w:val="99"/>
    <w:qFormat/>
    <w:rPr>
      <w:rFonts w:ascii="宋体" w:hAnsi="Courier New" w:eastAsia="宋体" w:cs="Times New Roman"/>
      <w:sz w:val="21"/>
      <w:szCs w:val="21"/>
      <w:lang w:val="en-US" w:eastAsia="zh-CN" w:bidi="ar-SA"/>
    </w:rPr>
  </w:style>
  <w:style w:type="paragraph" w:styleId="1151">
    <w:name w:val="表格1"/>
    <w:basedOn w:val="937"/>
    <w:next w:val="1151"/>
    <w:link w:val="937"/>
    <w:qFormat/>
    <w:pPr>
      <w:ind w:firstLine="480"/>
      <w:jc w:val="center"/>
    </w:pPr>
    <w:rPr>
      <w:sz w:val="24"/>
      <w:szCs w:val="20"/>
    </w:rPr>
  </w:style>
  <w:style w:type="character" w:styleId="1152">
    <w:name w:val="纯文本 字符1"/>
    <w:next w:val="1152"/>
    <w:link w:val="937"/>
    <w:qFormat/>
    <w:rPr>
      <w:rFonts w:ascii="宋体" w:hAnsi="Courier New"/>
    </w:rPr>
  </w:style>
  <w:style w:type="character" w:styleId="1153">
    <w:name w:val="bjh-p"/>
    <w:next w:val="1153"/>
    <w:link w:val="937"/>
    <w:qFormat/>
  </w:style>
  <w:style w:type="paragraph" w:styleId="1154">
    <w:name w:val="无标题条"/>
    <w:next w:val="937"/>
    <w:link w:val="937"/>
    <w:qFormat/>
    <w:pPr>
      <w:jc w:val="both"/>
    </w:pPr>
    <w:rPr>
      <w:sz w:val="21"/>
      <w:lang w:val="en-US" w:eastAsia="zh-CN" w:bidi="ar-SA"/>
    </w:rPr>
  </w:style>
  <w:style w:type="character" w:styleId="1155">
    <w:name w:val="正文格式 Char"/>
    <w:next w:val="1155"/>
    <w:link w:val="1156"/>
    <w:qFormat/>
    <w:rPr>
      <w:rFonts w:ascii="宋体" w:hAnsi="宋体"/>
      <w:sz w:val="24"/>
      <w:szCs w:val="24"/>
      <w:lang w:val="en-GB"/>
    </w:rPr>
  </w:style>
  <w:style w:type="paragraph" w:styleId="1156">
    <w:name w:val="正文格式"/>
    <w:basedOn w:val="937"/>
    <w:next w:val="1156"/>
    <w:link w:val="1155"/>
    <w:qFormat/>
    <w:pPr>
      <w:ind w:firstLine="480"/>
      <w:spacing w:line="360" w:lineRule="auto"/>
    </w:pPr>
    <w:rPr>
      <w:rFonts w:ascii="宋体" w:hAnsi="宋体"/>
      <w:sz w:val="24"/>
      <w:lang w:val="en-GB"/>
    </w:rPr>
  </w:style>
  <w:style w:type="character" w:styleId="1157">
    <w:name w:val="标题 3 Char"/>
    <w:next w:val="1157"/>
    <w:link w:val="937"/>
    <w:qFormat/>
    <w:rPr>
      <w:rFonts w:ascii="宋体" w:eastAsia="宋体"/>
      <w:b/>
      <w:sz w:val="24"/>
      <w:u w:val="single"/>
      <w:lang w:val="en-US" w:eastAsia="zh-CN" w:bidi="ar-SA"/>
    </w:rPr>
  </w:style>
  <w:style w:type="character" w:styleId="1158">
    <w:name w:val="正文缩进 Char"/>
    <w:next w:val="1158"/>
    <w:link w:val="937"/>
    <w:qFormat/>
    <w:rPr>
      <w:rFonts w:ascii="宋体" w:eastAsia="宋体"/>
      <w:sz w:val="24"/>
      <w:szCs w:val="24"/>
      <w:lang w:val="en-US" w:eastAsia="zh-CN" w:bidi="ar-SA"/>
    </w:rPr>
  </w:style>
  <w:style w:type="character" w:styleId="1159">
    <w:name w:val="Char Char111"/>
    <w:next w:val="1159"/>
    <w:link w:val="937"/>
    <w:qFormat/>
    <w:rPr>
      <w:rFonts w:ascii="宋体" w:eastAsia="宋体"/>
      <w:b/>
      <w:sz w:val="24"/>
      <w:u w:val="single"/>
      <w:lang w:val="en-US" w:eastAsia="zh-CN" w:bidi="ar-SA"/>
    </w:rPr>
  </w:style>
  <w:style w:type="character" w:styleId="1160">
    <w:name w:val="正文文本缩进 Char"/>
    <w:next w:val="1160"/>
    <w:link w:val="937"/>
    <w:qFormat/>
    <w:rPr>
      <w:rFonts w:eastAsia="宋体"/>
      <w:sz w:val="24"/>
      <w:szCs w:val="24"/>
      <w:lang w:val="en-US" w:eastAsia="zh-CN" w:bidi="ar-SA"/>
    </w:rPr>
  </w:style>
  <w:style w:type="character" w:styleId="1161">
    <w:name w:val="列出段落 Char"/>
    <w:next w:val="1161"/>
    <w:link w:val="937"/>
    <w:qFormat/>
    <w:rPr>
      <w:rFonts w:ascii="Calibri" w:hAnsi="Calibri" w:eastAsia="宋体"/>
      <w:sz w:val="21"/>
      <w:szCs w:val="22"/>
      <w:lang w:val="en-US" w:eastAsia="zh-CN" w:bidi="ar-SA"/>
    </w:rPr>
  </w:style>
  <w:style w:type="character" w:styleId="1162">
    <w:name w:val="页眉 Char"/>
    <w:next w:val="1162"/>
    <w:link w:val="937"/>
    <w:qFormat/>
    <w:rPr>
      <w:rFonts w:eastAsia="宋体"/>
      <w:sz w:val="18"/>
      <w:szCs w:val="18"/>
      <w:lang w:val="en-US" w:eastAsia="zh-CN" w:bidi="ar-SA"/>
    </w:rPr>
  </w:style>
  <w:style w:type="character" w:styleId="1163">
    <w:name w:val="标题 2 Char"/>
    <w:next w:val="1163"/>
    <w:link w:val="937"/>
    <w:qFormat/>
    <w:rPr>
      <w:rFonts w:ascii="Arial" w:hAnsi="Arial" w:eastAsia="黑体"/>
      <w:b/>
      <w:sz w:val="30"/>
      <w:lang w:val="en-US" w:eastAsia="zh-CN" w:bidi="ar-SA"/>
    </w:rPr>
  </w:style>
  <w:style w:type="paragraph" w:styleId="1164">
    <w:name w:val="字元 字元2"/>
    <w:basedOn w:val="937"/>
    <w:next w:val="1164"/>
    <w:link w:val="937"/>
    <w:qFormat/>
    <w:rPr>
      <w:rFonts w:ascii="Tahoma" w:hAnsi="Tahoma"/>
      <w:sz w:val="24"/>
      <w:szCs w:val="20"/>
    </w:rPr>
  </w:style>
  <w:style w:type="paragraph" w:styleId="1165">
    <w:name w:val="Char3 Char Char Char2"/>
    <w:basedOn w:val="937"/>
    <w:next w:val="1165"/>
    <w:link w:val="937"/>
    <w:qFormat/>
    <w:rPr>
      <w:rFonts w:ascii="Tahoma" w:hAnsi="Tahoma"/>
      <w:sz w:val="24"/>
      <w:szCs w:val="20"/>
    </w:rPr>
  </w:style>
  <w:style w:type="paragraph" w:styleId="1166">
    <w:name w:val="正文文本缩进2"/>
    <w:basedOn w:val="937"/>
    <w:next w:val="1166"/>
    <w:link w:val="937"/>
    <w:qFormat/>
    <w:pPr>
      <w:ind w:firstLine="480"/>
      <w:spacing w:line="480" w:lineRule="exact"/>
    </w:pPr>
    <w:rPr>
      <w:rFonts w:ascii="宋体" w:hAnsi="宋体"/>
      <w:sz w:val="24"/>
      <w:lang w:val="zh-CN" w:eastAsia="zh-CN"/>
    </w:rPr>
  </w:style>
  <w:style w:type="paragraph" w:styleId="1167">
    <w:name w:val="Char3"/>
    <w:basedOn w:val="937"/>
    <w:next w:val="1167"/>
    <w:link w:val="937"/>
    <w:qFormat/>
    <w:pPr>
      <w:tabs>
        <w:tab w:val="left" w:pos="360" w:leader="none"/>
      </w:tabs>
    </w:pPr>
    <w:rPr>
      <w:sz w:val="24"/>
    </w:rPr>
  </w:style>
  <w:style w:type="paragraph" w:styleId="1168">
    <w:name w:val="Char Char Char Char Char Char Char Char Char Char Char Char Char Char Char Char1"/>
    <w:basedOn w:val="937"/>
    <w:next w:val="1168"/>
    <w:link w:val="937"/>
    <w:qFormat/>
    <w:pPr>
      <w:jc w:val="center"/>
      <w:spacing w:after="160" w:line="240" w:lineRule="exact"/>
      <w:widowControl/>
    </w:pPr>
    <w:rPr>
      <w:rFonts w:ascii="宋体" w:hAnsi="宋体"/>
      <w:b/>
      <w:sz w:val="30"/>
      <w:szCs w:val="30"/>
      <w:lang w:eastAsia="en-US"/>
    </w:rPr>
  </w:style>
  <w:style w:type="paragraph" w:styleId="1169">
    <w:name w:val="Char Char1 Char Char Char Char Char Char1"/>
    <w:basedOn w:val="937"/>
    <w:next w:val="1169"/>
    <w:link w:val="937"/>
    <w:qFormat/>
    <w:pPr>
      <w:jc w:val="left"/>
      <w:spacing w:after="160" w:line="240" w:lineRule="exact"/>
      <w:widowControl/>
    </w:pPr>
    <w:rPr>
      <w:rFonts w:ascii="Verdana" w:hAnsi="Verdana" w:eastAsia="仿宋_GB2312"/>
      <w:sz w:val="24"/>
      <w:szCs w:val="20"/>
      <w:lang w:eastAsia="en-US"/>
    </w:rPr>
  </w:style>
  <w:style w:type="paragraph" w:styleId="1170">
    <w:name w:val="列出段落2"/>
    <w:basedOn w:val="937"/>
    <w:next w:val="1170"/>
    <w:link w:val="937"/>
    <w:qFormat/>
    <w:pPr>
      <w:ind w:firstLine="420"/>
    </w:pPr>
    <w:rPr>
      <w:rFonts w:ascii="Calibri" w:hAnsi="Calibri"/>
      <w:szCs w:val="22"/>
    </w:rPr>
  </w:style>
  <w:style w:type="paragraph" w:styleId="1171">
    <w:name w:val="Char Char Char1 Char2"/>
    <w:basedOn w:val="937"/>
    <w:next w:val="1171"/>
    <w:link w:val="937"/>
    <w:qFormat/>
    <w:rPr>
      <w:rFonts w:ascii="Tahoma" w:hAnsi="Tahoma"/>
      <w:sz w:val="24"/>
      <w:szCs w:val="20"/>
    </w:rPr>
  </w:style>
  <w:style w:type="paragraph" w:styleId="1172">
    <w:name w:val="Char Char Char2"/>
    <w:basedOn w:val="937"/>
    <w:next w:val="1172"/>
    <w:link w:val="937"/>
    <w:qFormat/>
    <w:rPr>
      <w:rFonts w:ascii="Tahoma" w:hAnsi="Tahoma"/>
      <w:sz w:val="24"/>
      <w:szCs w:val="20"/>
    </w:rPr>
  </w:style>
  <w:style w:type="paragraph" w:styleId="1173">
    <w:name w:val="Char Char Char Char Char Char Char2"/>
    <w:basedOn w:val="937"/>
    <w:next w:val="1173"/>
    <w:link w:val="937"/>
    <w:qFormat/>
    <w:pPr>
      <w:ind w:firstLine="200"/>
      <w:spacing w:line="360" w:lineRule="auto"/>
    </w:pPr>
    <w:rPr>
      <w:rFonts w:eastAsia="仿宋_GB2312"/>
      <w:sz w:val="24"/>
    </w:rPr>
  </w:style>
  <w:style w:type="paragraph" w:styleId="1174">
    <w:name w:val="正文缩进2"/>
    <w:basedOn w:val="937"/>
    <w:next w:val="1174"/>
    <w:link w:val="937"/>
    <w:qFormat/>
    <w:pPr>
      <w:ind w:firstLine="567"/>
      <w:spacing w:line="480" w:lineRule="exact"/>
      <w:widowControl/>
    </w:pPr>
    <w:rPr>
      <w:rFonts w:ascii="宋体"/>
      <w:color w:val="000000"/>
      <w:sz w:val="28"/>
      <w:szCs w:val="20"/>
      <w:lang w:val="zh-CN" w:eastAsia="zh-CN"/>
    </w:rPr>
  </w:style>
  <w:style w:type="paragraph" w:styleId="1175">
    <w:name w:val="Revision"/>
    <w:next w:val="1175"/>
    <w:link w:val="937"/>
    <w:qFormat/>
    <w:rPr>
      <w:sz w:val="21"/>
      <w:szCs w:val="24"/>
      <w:lang w:val="en-US" w:eastAsia="zh-CN" w:bidi="ar-SA"/>
    </w:rPr>
  </w:style>
  <w:style w:type="paragraph" w:styleId="1176">
    <w:name w:val="Char22"/>
    <w:basedOn w:val="937"/>
    <w:next w:val="1176"/>
    <w:link w:val="937"/>
    <w:qFormat/>
    <w:rPr>
      <w:rFonts w:ascii="Tahoma" w:hAnsi="Tahoma"/>
      <w:sz w:val="24"/>
      <w:szCs w:val="20"/>
    </w:rPr>
  </w:style>
  <w:style w:type="paragraph" w:styleId="1177">
    <w:name w:val="Char Char Char Char Char Char Char Char Char Char2"/>
    <w:basedOn w:val="937"/>
    <w:next w:val="1177"/>
    <w:link w:val="937"/>
    <w:qFormat/>
    <w:rPr>
      <w:rFonts w:ascii="宋体" w:hAnsi="宋体" w:cs="Courier New"/>
      <w:sz w:val="32"/>
      <w:szCs w:val="32"/>
    </w:rPr>
  </w:style>
  <w:style w:type="paragraph" w:styleId="1178">
    <w:name w:val="Char2 Char Char Char Char Char Char1"/>
    <w:basedOn w:val="937"/>
    <w:next w:val="1178"/>
    <w:link w:val="937"/>
    <w:qFormat/>
    <w:pPr>
      <w:jc w:val="center"/>
      <w:spacing w:line="400" w:lineRule="exact"/>
      <w:widowControl/>
    </w:pPr>
  </w:style>
  <w:style w:type="character" w:styleId="1179">
    <w:name w:val="页脚 Char"/>
    <w:next w:val="1179"/>
    <w:link w:val="937"/>
    <w:qFormat/>
    <w:rPr>
      <w:rFonts w:ascii="宋体" w:eastAsia="宋体"/>
      <w:sz w:val="18"/>
      <w:lang w:val="en-US" w:eastAsia="zh-CN" w:bidi="ar-SA"/>
    </w:rPr>
  </w:style>
  <w:style w:type="paragraph" w:styleId="1180">
    <w:name w:val="Char Char41"/>
    <w:basedOn w:val="937"/>
    <w:next w:val="1180"/>
    <w:link w:val="937"/>
    <w:qFormat/>
    <w:pPr>
      <w:jc w:val="center"/>
      <w:spacing w:line="400" w:lineRule="exact"/>
      <w:widowControl/>
    </w:pPr>
  </w:style>
  <w:style w:type="character" w:styleId="1181">
    <w:name w:val="批注文字 Char"/>
    <w:next w:val="1181"/>
    <w:link w:val="937"/>
    <w:uiPriority w:val="99"/>
    <w:qFormat/>
    <w:rPr>
      <w:sz w:val="21"/>
      <w:szCs w:val="24"/>
    </w:rPr>
  </w:style>
  <w:style w:type="character" w:styleId="1182">
    <w:name w:val="标题 Char"/>
    <w:next w:val="1182"/>
    <w:link w:val="937"/>
    <w:qFormat/>
    <w:rPr>
      <w:b/>
      <w:sz w:val="32"/>
    </w:rPr>
  </w:style>
  <w:style w:type="paragraph" w:styleId="1183">
    <w:name w:val="图例"/>
    <w:basedOn w:val="937"/>
    <w:next w:val="1183"/>
    <w:link w:val="937"/>
    <w:qFormat/>
    <w:pPr>
      <w:jc w:val="center"/>
      <w:spacing w:before="120" w:after="120" w:line="360" w:lineRule="auto"/>
    </w:pPr>
    <w:rPr>
      <w:rFonts w:eastAsia="仿宋_GB2312"/>
      <w:b/>
      <w:sz w:val="24"/>
      <w:szCs w:val="20"/>
    </w:rPr>
  </w:style>
  <w:style w:type="paragraph" w:styleId="1184">
    <w:name w:val="Table Paragraph"/>
    <w:basedOn w:val="937"/>
    <w:next w:val="1184"/>
    <w:link w:val="937"/>
    <w:uiPriority w:val="1"/>
    <w:qFormat/>
    <w:pPr>
      <w:jc w:val="left"/>
    </w:pPr>
    <w:rPr>
      <w:rFonts w:ascii="宋体" w:hAnsi="宋体" w:cs="宋体"/>
      <w:sz w:val="22"/>
      <w:szCs w:val="22"/>
      <w:lang w:eastAsia="en-US"/>
    </w:rPr>
  </w:style>
  <w:style w:type="table" w:styleId="1185">
    <w:name w:val="Table Normal"/>
    <w:next w:val="1185"/>
    <w:link w:val="937"/>
    <w:uiPriority w:val="2"/>
    <w:semiHidden/>
    <w:qFormat/>
    <w:pPr>
      <w:widowControl w:val="off"/>
    </w:pPr>
    <w:rPr>
      <w:rFonts w:ascii="Calibri" w:hAnsi="Calibri"/>
      <w:sz w:val="22"/>
      <w:szCs w:val="22"/>
      <w:lang w:val="en-US" w:eastAsia="en-US" w:bidi="ar-SA"/>
    </w:rPr>
    <w:tblPr/>
  </w:style>
  <w:style w:type="paragraph" w:styleId="1186">
    <w:name w:val="成文日期"/>
    <w:basedOn w:val="937"/>
    <w:next w:val="1186"/>
    <w:link w:val="1187"/>
    <w:qFormat/>
    <w:pPr>
      <w:ind w:right="400" w:firstLine="200"/>
      <w:jc w:val="right"/>
      <w:spacing w:line="570" w:lineRule="exact"/>
    </w:pPr>
    <w:rPr>
      <w:rFonts w:ascii="仿宋_GB2312" w:eastAsia="仿宋_GB2312"/>
      <w:sz w:val="32"/>
      <w:szCs w:val="20"/>
    </w:rPr>
  </w:style>
  <w:style w:type="character" w:styleId="1187">
    <w:name w:val="成文日期 Char"/>
    <w:next w:val="1187"/>
    <w:link w:val="1186"/>
    <w:rPr>
      <w:rFonts w:ascii="仿宋_GB2312" w:eastAsia="仿宋_GB2312"/>
      <w:sz w:val="32"/>
    </w:rPr>
  </w:style>
  <w:style w:type="paragraph" w:styleId="1188">
    <w:name w:val="*正文"/>
    <w:basedOn w:val="937"/>
    <w:next w:val="1188"/>
    <w:link w:val="937"/>
    <w:qFormat/>
    <w:pPr>
      <w:ind w:firstLine="480"/>
      <w:jc w:val="left"/>
      <w:spacing w:before="120" w:after="120"/>
    </w:pPr>
    <w:rPr>
      <w:rFonts w:ascii="宋体" w:hAnsi="宋体"/>
    </w:rPr>
  </w:style>
  <w:style w:type="paragraph" w:styleId="1189">
    <w:name w:val="段"/>
    <w:next w:val="937"/>
    <w:link w:val="937"/>
    <w:unhideWhenUsed/>
    <w:qFormat/>
    <w:pPr>
      <w:ind w:firstLine="200"/>
      <w:jc w:val="both"/>
      <w:spacing w:line="360" w:lineRule="auto"/>
    </w:pPr>
    <w:rPr>
      <w:rFonts w:hint="eastAsia" w:ascii="宋体"/>
      <w:sz w:val="24"/>
      <w:lang w:val="en-US" w:eastAsia="zh-CN" w:bidi="ar-SA"/>
    </w:rPr>
  </w:style>
  <w:style w:type="paragraph" w:styleId="1190">
    <w:name w:val="首行缩进"/>
    <w:basedOn w:val="937"/>
    <w:next w:val="1190"/>
    <w:link w:val="937"/>
    <w:qFormat/>
    <w:pPr>
      <w:ind w:firstLine="480"/>
    </w:pPr>
    <w:rPr>
      <w:rFonts w:ascii="Calibri" w:hAnsi="Calibri" w:eastAsia="宋体" w:cs="Times New Roman"/>
      <w:lang w:val="zh-CN"/>
    </w:rPr>
  </w:style>
  <w:style w:type="character" w:styleId="1191">
    <w:name w:val="current"/>
    <w:basedOn w:val="947"/>
    <w:next w:val="1191"/>
    <w:link w:val="937"/>
    <w:rPr>
      <w:b/>
      <w:bCs/>
      <w:color w:val="05a7d8"/>
      <w:sz w:val="18"/>
      <w:szCs w:val="18"/>
    </w:rPr>
  </w:style>
  <w:style w:type="character" w:styleId="1192">
    <w:name w:val="l-btn-left"/>
    <w:basedOn w:val="947"/>
    <w:next w:val="1192"/>
    <w:link w:val="937"/>
  </w:style>
  <w:style w:type="character" w:styleId="1193">
    <w:name w:val="l-btn-text36"/>
    <w:basedOn w:val="947"/>
    <w:next w:val="1193"/>
    <w:link w:val="937"/>
  </w:style>
  <w:style w:type="character" w:styleId="1194">
    <w:name w:val="NormalCharacter1"/>
    <w:next w:val="1194"/>
    <w:link w:val="937"/>
    <w:uiPriority w:val="99"/>
    <w:semiHidden/>
    <w:qFormat/>
  </w:style>
  <w:style w:type="paragraph" w:styleId="1195">
    <w:name w:val="正文文本1"/>
    <w:basedOn w:val="937"/>
    <w:next w:val="937"/>
    <w:link w:val="937"/>
    <w:qFormat/>
    <w:pPr>
      <w:spacing w:before="120" w:line="22" w:lineRule="atLeast"/>
      <w:tabs>
        <w:tab w:val="left" w:pos="567" w:leader="none"/>
      </w:tabs>
    </w:pPr>
    <w:rPr>
      <w:rFonts w:ascii="宋体" w:hAnsi="宋体"/>
      <w:sz w:val="24"/>
    </w:rPr>
  </w:style>
  <w:style w:type="paragraph" w:styleId="1196">
    <w:name w:val="正文 A"/>
    <w:next w:val="1196"/>
    <w:link w:val="937"/>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97">
    <w:name w:val="Í¼±íÕýÎÄ"/>
    <w:basedOn w:val="937"/>
    <w:next w:val="951"/>
    <w:link w:val="937"/>
    <w:qFormat/>
    <w:pPr>
      <w:ind w:firstLine="420"/>
    </w:pPr>
    <w:rPr>
      <w:sz w:val="24"/>
    </w:rPr>
  </w:style>
  <w:style w:type="character" w:styleId="1198">
    <w:name w:val="页码1"/>
    <w:basedOn w:val="947"/>
    <w:next w:val="1198"/>
    <w:link w:val="937"/>
    <w:qFormat/>
  </w:style>
  <w:style w:type="character" w:styleId="1199">
    <w:name w:val="NormalCharacter1"/>
    <w:next w:val="1199"/>
    <w:link w:val="937"/>
    <w:semiHidden/>
    <w:qFormat/>
  </w:style>
  <w:style w:type="paragraph" w:styleId="1200">
    <w:name w:val="Table Text"/>
    <w:basedOn w:val="937"/>
    <w:next w:val="1200"/>
    <w:link w:val="937"/>
    <w:semiHidden/>
    <w:qFormat/>
    <w:rPr>
      <w:rFonts w:ascii="宋体" w:hAnsi="宋体" w:eastAsia="宋体" w:cs="宋体"/>
      <w:sz w:val="20"/>
      <w:szCs w:val="20"/>
      <w:lang w:val="en-US" w:eastAsia="en-US" w:bidi="ar-SA"/>
    </w:rPr>
  </w:style>
  <w:style w:type="character" w:styleId="1201" w:default="1">
    <w:name w:val="Default Paragraph Font"/>
    <w:uiPriority w:val="1"/>
    <w:semiHidden/>
    <w:unhideWhenUsed/>
  </w:style>
  <w:style w:type="numbering" w:styleId="1202" w:default="1">
    <w:name w:val="No List"/>
    <w:uiPriority w:val="99"/>
    <w:semiHidden/>
    <w:unhideWhenUsed/>
  </w:style>
  <w:style w:type="table" w:styleId="12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5</cp:revision>
  <dcterms:created xsi:type="dcterms:W3CDTF">2022-05-30T08:03:00Z</dcterms:created>
  <dcterms:modified xsi:type="dcterms:W3CDTF">2026-03-31T05:40:30Z</dcterms:modified>
</cp:coreProperties>
</file>